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E178C" w14:textId="77777777" w:rsidR="004C79A2" w:rsidRDefault="004C79A2" w:rsidP="00BE6AB7">
      <w:pPr>
        <w:pStyle w:val="Heading1"/>
        <w:rPr>
          <w:rStyle w:val="s1"/>
        </w:rPr>
      </w:pPr>
      <w:r>
        <w:rPr>
          <w:noProof/>
        </w:rPr>
        <w:drawing>
          <wp:inline distT="0" distB="0" distL="0" distR="0" wp14:anchorId="28B21867" wp14:editId="781D7D36">
            <wp:extent cx="2857496" cy="55435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AT tea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726" cy="556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11AE9" w14:textId="7D408DD5" w:rsidR="00B937E3" w:rsidRPr="00F02DCA" w:rsidRDefault="00B937E3" w:rsidP="00BE6AB7">
      <w:pPr>
        <w:pStyle w:val="Heading1"/>
        <w:rPr>
          <w:rStyle w:val="s1"/>
        </w:rPr>
      </w:pPr>
      <w:r w:rsidRPr="00F02DCA">
        <w:rPr>
          <w:rStyle w:val="s1"/>
        </w:rPr>
        <w:t xml:space="preserve">The process of having a </w:t>
      </w:r>
      <w:r w:rsidR="00B50191" w:rsidRPr="00F02DCA">
        <w:rPr>
          <w:rStyle w:val="s1"/>
        </w:rPr>
        <w:t>determination</w:t>
      </w:r>
      <w:r w:rsidRPr="00F02DCA">
        <w:rPr>
          <w:rStyle w:val="s1"/>
        </w:rPr>
        <w:t xml:space="preserve"> made </w:t>
      </w:r>
      <w:r w:rsidR="00B50191" w:rsidRPr="00F02DCA">
        <w:rPr>
          <w:rStyle w:val="s1"/>
        </w:rPr>
        <w:t>‘</w:t>
      </w:r>
      <w:r w:rsidRPr="00F02DCA">
        <w:rPr>
          <w:rStyle w:val="s1"/>
        </w:rPr>
        <w:t>on the papers</w:t>
      </w:r>
      <w:r w:rsidR="00B50191" w:rsidRPr="00F02DCA">
        <w:rPr>
          <w:rStyle w:val="s1"/>
        </w:rPr>
        <w:t>’</w:t>
      </w:r>
    </w:p>
    <w:p w14:paraId="1B195ED4" w14:textId="01D3D74B" w:rsidR="00B937E3" w:rsidRPr="004C79A2" w:rsidRDefault="00B937E3" w:rsidP="00BE6AB7">
      <w:pPr>
        <w:pStyle w:val="p1"/>
        <w:rPr>
          <w:rStyle w:val="s1"/>
          <w:rFonts w:ascii="Arial" w:hAnsi="Arial" w:cs="Arial"/>
          <w:b/>
          <w:bCs/>
          <w:sz w:val="32"/>
          <w:szCs w:val="32"/>
        </w:rPr>
      </w:pPr>
      <w:r w:rsidRPr="004C79A2">
        <w:rPr>
          <w:rStyle w:val="s1"/>
          <w:rFonts w:ascii="Arial" w:hAnsi="Arial" w:cs="Arial"/>
          <w:b/>
          <w:bCs/>
          <w:sz w:val="32"/>
          <w:szCs w:val="32"/>
        </w:rPr>
        <w:t>Frequently Asked Questions</w:t>
      </w:r>
    </w:p>
    <w:p w14:paraId="318B4BD3" w14:textId="5F99A4BA" w:rsidR="00A51830" w:rsidRPr="00F02DCA" w:rsidRDefault="00A51830" w:rsidP="00BE6AB7">
      <w:pPr>
        <w:pStyle w:val="Heading2"/>
        <w:rPr>
          <w:rStyle w:val="s3"/>
        </w:rPr>
      </w:pPr>
      <w:r w:rsidRPr="00F02DCA">
        <w:rPr>
          <w:rStyle w:val="s3"/>
        </w:rPr>
        <w:t>What is a determination ‘on the papers’?</w:t>
      </w:r>
    </w:p>
    <w:p w14:paraId="3C6AA6BE" w14:textId="76008CFF" w:rsidR="006B3DAC" w:rsidRPr="00F02DCA" w:rsidRDefault="006B3DAC" w:rsidP="00BE6AB7">
      <w:pPr>
        <w:rPr>
          <w:rStyle w:val="s2"/>
        </w:rPr>
      </w:pPr>
      <w:r w:rsidRPr="00F02DCA">
        <w:rPr>
          <w:rStyle w:val="s2"/>
        </w:rPr>
        <w:t xml:space="preserve">The determination of matters ‘on the papers’ is one of the </w:t>
      </w:r>
      <w:r w:rsidR="009F6C8F" w:rsidRPr="00F02DCA">
        <w:rPr>
          <w:rStyle w:val="s2"/>
        </w:rPr>
        <w:t xml:space="preserve">methods available to parties for </w:t>
      </w:r>
      <w:r w:rsidRPr="00F02DCA">
        <w:rPr>
          <w:rStyle w:val="s2"/>
        </w:rPr>
        <w:t>proceedings</w:t>
      </w:r>
      <w:r w:rsidR="009F6C8F" w:rsidRPr="00F02DCA">
        <w:rPr>
          <w:rStyle w:val="s2"/>
        </w:rPr>
        <w:t xml:space="preserve"> to be</w:t>
      </w:r>
      <w:r w:rsidRPr="00F02DCA">
        <w:rPr>
          <w:rStyle w:val="s2"/>
        </w:rPr>
        <w:t xml:space="preserve"> </w:t>
      </w:r>
      <w:r w:rsidR="00D7524E" w:rsidRPr="00F02DCA">
        <w:rPr>
          <w:rStyle w:val="s2"/>
        </w:rPr>
        <w:t>decided</w:t>
      </w:r>
      <w:r w:rsidRPr="00F02DCA">
        <w:rPr>
          <w:rStyle w:val="s2"/>
        </w:rPr>
        <w:t>.</w:t>
      </w:r>
    </w:p>
    <w:p w14:paraId="3AFA3052" w14:textId="7ED4F03D" w:rsidR="00B937E3" w:rsidRPr="00BE6AB7" w:rsidRDefault="00B937E3" w:rsidP="00BE6AB7">
      <w:r w:rsidRPr="00BE6AB7">
        <w:rPr>
          <w:rStyle w:val="s2"/>
        </w:rPr>
        <w:t xml:space="preserve">Determination of proceedings ‘on the papers’ means that </w:t>
      </w:r>
      <w:r w:rsidR="00586A57">
        <w:rPr>
          <w:rStyle w:val="s2"/>
        </w:rPr>
        <w:t>VCAT</w:t>
      </w:r>
      <w:r w:rsidRPr="00BE6AB7">
        <w:rPr>
          <w:rStyle w:val="s2"/>
        </w:rPr>
        <w:t xml:space="preserve"> will make a decision based on written submissions and other material from the parties, </w:t>
      </w:r>
      <w:r w:rsidR="00F32EB9" w:rsidRPr="00BE6AB7">
        <w:rPr>
          <w:rStyle w:val="s2"/>
        </w:rPr>
        <w:t xml:space="preserve">without hearing </w:t>
      </w:r>
      <w:r w:rsidR="009F6C8F" w:rsidRPr="00BE6AB7">
        <w:rPr>
          <w:rStyle w:val="s2"/>
        </w:rPr>
        <w:t>from</w:t>
      </w:r>
      <w:r w:rsidR="00F32EB9" w:rsidRPr="00BE6AB7">
        <w:rPr>
          <w:rStyle w:val="s2"/>
        </w:rPr>
        <w:t xml:space="preserve"> the parties (or their representatives) </w:t>
      </w:r>
      <w:r w:rsidR="009F6C8F" w:rsidRPr="00BE6AB7">
        <w:rPr>
          <w:rStyle w:val="s2"/>
        </w:rPr>
        <w:t>in person</w:t>
      </w:r>
      <w:r w:rsidR="006B3DAC" w:rsidRPr="00BE6AB7">
        <w:rPr>
          <w:rStyle w:val="s2"/>
        </w:rPr>
        <w:t>.</w:t>
      </w:r>
    </w:p>
    <w:p w14:paraId="5790DA83" w14:textId="4BBA252D" w:rsidR="00FF04F0" w:rsidRPr="00F02DCA" w:rsidRDefault="00FF04F0" w:rsidP="00BE6AB7">
      <w:pPr>
        <w:pStyle w:val="Heading2"/>
        <w:rPr>
          <w:rStyle w:val="s3"/>
        </w:rPr>
      </w:pPr>
      <w:r w:rsidRPr="00F02DCA">
        <w:rPr>
          <w:rStyle w:val="s3"/>
        </w:rPr>
        <w:t xml:space="preserve">What matters are suitable for a </w:t>
      </w:r>
      <w:r w:rsidR="00A51830" w:rsidRPr="00F02DCA">
        <w:rPr>
          <w:rStyle w:val="s3"/>
        </w:rPr>
        <w:t>determination</w:t>
      </w:r>
      <w:r w:rsidRPr="00F02DCA">
        <w:rPr>
          <w:rStyle w:val="s3"/>
        </w:rPr>
        <w:t xml:space="preserve"> </w:t>
      </w:r>
      <w:r w:rsidR="00BA4369" w:rsidRPr="00F02DCA">
        <w:rPr>
          <w:rStyle w:val="s3"/>
        </w:rPr>
        <w:t>‘</w:t>
      </w:r>
      <w:r w:rsidRPr="00F02DCA">
        <w:rPr>
          <w:rStyle w:val="s3"/>
        </w:rPr>
        <w:t>on the papers?</w:t>
      </w:r>
    </w:p>
    <w:p w14:paraId="2D470D52" w14:textId="4990AC03" w:rsidR="00FF04F0" w:rsidRPr="00F02DCA" w:rsidRDefault="0074263D" w:rsidP="00BE6AB7">
      <w:pPr>
        <w:rPr>
          <w:rStyle w:val="s3"/>
        </w:rPr>
      </w:pPr>
      <w:r w:rsidRPr="00F02DCA">
        <w:rPr>
          <w:rStyle w:val="s3"/>
        </w:rPr>
        <w:t xml:space="preserve">Any proceeding may be considered for determination ‘on the </w:t>
      </w:r>
      <w:proofErr w:type="gramStart"/>
      <w:r w:rsidRPr="00F02DCA">
        <w:rPr>
          <w:rStyle w:val="s3"/>
        </w:rPr>
        <w:t>papers’</w:t>
      </w:r>
      <w:proofErr w:type="gramEnd"/>
      <w:r w:rsidRPr="00F02DCA">
        <w:rPr>
          <w:rStyle w:val="s3"/>
        </w:rPr>
        <w:t>.</w:t>
      </w:r>
      <w:r w:rsidR="00BE6AB7">
        <w:rPr>
          <w:rStyle w:val="s3"/>
        </w:rPr>
        <w:t xml:space="preserve"> </w:t>
      </w:r>
      <w:r w:rsidRPr="00F02DCA">
        <w:rPr>
          <w:rStyle w:val="s3"/>
        </w:rPr>
        <w:t xml:space="preserve">Typically, however, </w:t>
      </w:r>
      <w:r w:rsidR="00A60C88" w:rsidRPr="00F02DCA">
        <w:rPr>
          <w:rStyle w:val="s3"/>
        </w:rPr>
        <w:t xml:space="preserve">those proceedings with </w:t>
      </w:r>
      <w:r w:rsidR="00B92CB3" w:rsidRPr="00F02DCA">
        <w:rPr>
          <w:rStyle w:val="s3"/>
        </w:rPr>
        <w:t xml:space="preserve">a limited number of </w:t>
      </w:r>
      <w:r w:rsidR="00FF04F0" w:rsidRPr="00F02DCA">
        <w:rPr>
          <w:rStyle w:val="s3"/>
        </w:rPr>
        <w:t>parties</w:t>
      </w:r>
      <w:r w:rsidR="00A60C88" w:rsidRPr="00F02DCA">
        <w:rPr>
          <w:rStyle w:val="s3"/>
        </w:rPr>
        <w:t>, and/or limited or confined issues, may be more suited to this process.</w:t>
      </w:r>
      <w:r w:rsidR="005223BE" w:rsidRPr="00F02DCA">
        <w:rPr>
          <w:rStyle w:val="s3"/>
        </w:rPr>
        <w:t xml:space="preserve"> </w:t>
      </w:r>
    </w:p>
    <w:p w14:paraId="70C7EF92" w14:textId="24CCD0E1" w:rsidR="00FF04F0" w:rsidRPr="00F02DCA" w:rsidRDefault="00FF04F0" w:rsidP="00BE6AB7">
      <w:pPr>
        <w:pStyle w:val="Heading2"/>
        <w:rPr>
          <w:rStyle w:val="s3"/>
          <w:b w:val="0"/>
          <w:bCs w:val="0"/>
        </w:rPr>
      </w:pPr>
      <w:r w:rsidRPr="00F02DCA">
        <w:rPr>
          <w:rStyle w:val="s3"/>
        </w:rPr>
        <w:t xml:space="preserve">What is the process for having a matter determined </w:t>
      </w:r>
      <w:r w:rsidR="00BA4369" w:rsidRPr="00F02DCA">
        <w:rPr>
          <w:rStyle w:val="s3"/>
        </w:rPr>
        <w:t>‘</w:t>
      </w:r>
      <w:r w:rsidRPr="00F02DCA">
        <w:rPr>
          <w:rStyle w:val="s3"/>
        </w:rPr>
        <w:t>on the papers</w:t>
      </w:r>
      <w:r w:rsidR="00BA4369" w:rsidRPr="00F02DCA">
        <w:rPr>
          <w:rStyle w:val="s3"/>
        </w:rPr>
        <w:t>’</w:t>
      </w:r>
      <w:r w:rsidRPr="00F02DCA">
        <w:rPr>
          <w:rStyle w:val="s3"/>
        </w:rPr>
        <w:t>?</w:t>
      </w:r>
    </w:p>
    <w:p w14:paraId="48AEF0C8" w14:textId="2175B599" w:rsidR="00D7524E" w:rsidRPr="00BE6AB7" w:rsidRDefault="006B3DAC" w:rsidP="00BE6AB7">
      <w:pPr>
        <w:rPr>
          <w:rStyle w:val="s3"/>
        </w:rPr>
      </w:pPr>
      <w:r w:rsidRPr="00BE6AB7">
        <w:rPr>
          <w:rStyle w:val="s3"/>
        </w:rPr>
        <w:t xml:space="preserve">In accordance with </w:t>
      </w:r>
      <w:r w:rsidR="007064C3" w:rsidRPr="00BE6AB7">
        <w:rPr>
          <w:rStyle w:val="s3"/>
        </w:rPr>
        <w:t xml:space="preserve">section 100(2) of </w:t>
      </w:r>
      <w:r w:rsidRPr="00BE6AB7">
        <w:rPr>
          <w:rStyle w:val="s3"/>
        </w:rPr>
        <w:t xml:space="preserve">the </w:t>
      </w:r>
      <w:r w:rsidRPr="00BE6AB7">
        <w:rPr>
          <w:rStyle w:val="s3"/>
          <w:i/>
          <w:iCs/>
        </w:rPr>
        <w:t>Victorian Civil and Administrative Tribunal Act 1998</w:t>
      </w:r>
      <w:r w:rsidR="009F6C8F" w:rsidRPr="00BE6AB7">
        <w:rPr>
          <w:rStyle w:val="s3"/>
        </w:rPr>
        <w:t>,</w:t>
      </w:r>
      <w:r w:rsidRPr="00BE6AB7">
        <w:rPr>
          <w:rStyle w:val="s3"/>
          <w:i/>
          <w:iCs/>
        </w:rPr>
        <w:t xml:space="preserve"> </w:t>
      </w:r>
      <w:r w:rsidRPr="00BE6AB7">
        <w:rPr>
          <w:rStyle w:val="s3"/>
        </w:rPr>
        <w:t>a</w:t>
      </w:r>
      <w:r w:rsidR="00B92CB3" w:rsidRPr="00BE6AB7">
        <w:rPr>
          <w:rStyle w:val="s3"/>
        </w:rPr>
        <w:t xml:space="preserve"> hearing </w:t>
      </w:r>
      <w:r w:rsidRPr="00BE6AB7">
        <w:rPr>
          <w:rStyle w:val="s3"/>
        </w:rPr>
        <w:t>‘</w:t>
      </w:r>
      <w:r w:rsidR="00B92CB3" w:rsidRPr="00BE6AB7">
        <w:rPr>
          <w:rStyle w:val="s3"/>
        </w:rPr>
        <w:t>on the papers</w:t>
      </w:r>
      <w:r w:rsidRPr="00BE6AB7">
        <w:rPr>
          <w:rStyle w:val="s3"/>
        </w:rPr>
        <w:t>’</w:t>
      </w:r>
      <w:r w:rsidR="00B92CB3" w:rsidRPr="00BE6AB7">
        <w:rPr>
          <w:rStyle w:val="s3"/>
        </w:rPr>
        <w:t xml:space="preserve"> can only occur if all the parties agree to this process.</w:t>
      </w:r>
    </w:p>
    <w:p w14:paraId="250DF14A" w14:textId="520F6F13" w:rsidR="00FF04F0" w:rsidRPr="00BE6AB7" w:rsidRDefault="00F02DCA" w:rsidP="00BE6AB7">
      <w:pPr>
        <w:rPr>
          <w:rStyle w:val="s3"/>
        </w:rPr>
      </w:pPr>
      <w:r w:rsidRPr="00BE6AB7">
        <w:rPr>
          <w:rStyle w:val="s3"/>
        </w:rPr>
        <w:t>VCAT</w:t>
      </w:r>
      <w:r w:rsidR="00B84F5A" w:rsidRPr="00BE6AB7">
        <w:rPr>
          <w:rStyle w:val="s3"/>
        </w:rPr>
        <w:t xml:space="preserve"> has prepared a </w:t>
      </w:r>
      <w:r w:rsidR="00B92CB3" w:rsidRPr="00BE6AB7">
        <w:rPr>
          <w:rStyle w:val="s3"/>
        </w:rPr>
        <w:t>guideline</w:t>
      </w:r>
      <w:r w:rsidR="00AE2088" w:rsidRPr="00BE6AB7">
        <w:rPr>
          <w:rStyle w:val="s3"/>
        </w:rPr>
        <w:t xml:space="preserve"> (</w:t>
      </w:r>
      <w:hyperlink r:id="rId8" w:history="1">
        <w:r w:rsidR="003C4749" w:rsidRPr="00F02DCA">
          <w:rPr>
            <w:rFonts w:eastAsia="Calibri"/>
            <w:color w:val="0563C1"/>
            <w:u w:val="single"/>
          </w:rPr>
          <w:t>https://www.vcat.vic.gov.au/resources/guide-for-submissions-in-hearings-planning-and-environment</w:t>
        </w:r>
      </w:hyperlink>
      <w:r w:rsidR="00AE2088" w:rsidRPr="00BE6AB7">
        <w:rPr>
          <w:rStyle w:val="s3"/>
        </w:rPr>
        <w:t>)</w:t>
      </w:r>
      <w:r w:rsidR="00B84F5A" w:rsidRPr="00BE6AB7">
        <w:rPr>
          <w:rStyle w:val="s3"/>
        </w:rPr>
        <w:t xml:space="preserve">, that provides </w:t>
      </w:r>
      <w:r w:rsidR="00AE2088" w:rsidRPr="00BE6AB7">
        <w:rPr>
          <w:rStyle w:val="s3"/>
        </w:rPr>
        <w:t>information</w:t>
      </w:r>
      <w:r w:rsidR="00B92CB3" w:rsidRPr="00BE6AB7">
        <w:rPr>
          <w:rStyle w:val="s3"/>
        </w:rPr>
        <w:t xml:space="preserve"> about </w:t>
      </w:r>
      <w:r w:rsidR="00B84F5A" w:rsidRPr="00BE6AB7">
        <w:rPr>
          <w:rStyle w:val="s3"/>
        </w:rPr>
        <w:t>the preparation of an agreement between the parties</w:t>
      </w:r>
      <w:r w:rsidR="00825637" w:rsidRPr="00BE6AB7">
        <w:rPr>
          <w:rStyle w:val="s3"/>
        </w:rPr>
        <w:t xml:space="preserve"> for the submission of material to the Tribunal</w:t>
      </w:r>
      <w:r w:rsidR="00B84F5A" w:rsidRPr="00BE6AB7">
        <w:rPr>
          <w:rStyle w:val="s3"/>
        </w:rPr>
        <w:t>.</w:t>
      </w:r>
    </w:p>
    <w:p w14:paraId="273163B3" w14:textId="556BEB2E" w:rsidR="00B84F5A" w:rsidRPr="00BE6AB7" w:rsidRDefault="00B84F5A" w:rsidP="00BE6AB7">
      <w:pPr>
        <w:rPr>
          <w:rStyle w:val="s2"/>
        </w:rPr>
      </w:pPr>
      <w:r w:rsidRPr="00BE6AB7">
        <w:rPr>
          <w:rStyle w:val="s2"/>
        </w:rPr>
        <w:t xml:space="preserve">Once the parties have reached agreement on the process and timelines involved, they must </w:t>
      </w:r>
      <w:r w:rsidR="00AE2088" w:rsidRPr="00BE6AB7">
        <w:rPr>
          <w:rStyle w:val="s2"/>
        </w:rPr>
        <w:t xml:space="preserve">advise </w:t>
      </w:r>
      <w:r w:rsidR="00BE6AB7" w:rsidRPr="00BE6AB7">
        <w:rPr>
          <w:rStyle w:val="s2"/>
        </w:rPr>
        <w:t>VCAT</w:t>
      </w:r>
      <w:r w:rsidR="00AE2088" w:rsidRPr="00BE6AB7">
        <w:rPr>
          <w:rStyle w:val="s2"/>
        </w:rPr>
        <w:t xml:space="preserve">, in writing, and request that the matter be </w:t>
      </w:r>
      <w:r w:rsidR="00A963D2" w:rsidRPr="00BE6AB7">
        <w:rPr>
          <w:rStyle w:val="s2"/>
        </w:rPr>
        <w:t xml:space="preserve">determined ‘on the </w:t>
      </w:r>
      <w:proofErr w:type="gramStart"/>
      <w:r w:rsidR="00A963D2" w:rsidRPr="00BE6AB7">
        <w:rPr>
          <w:rStyle w:val="s2"/>
        </w:rPr>
        <w:t>papers’</w:t>
      </w:r>
      <w:proofErr w:type="gramEnd"/>
      <w:r w:rsidR="00AE2088" w:rsidRPr="00BE6AB7">
        <w:rPr>
          <w:rStyle w:val="s2"/>
        </w:rPr>
        <w:t>.</w:t>
      </w:r>
      <w:r w:rsidR="00BE6AB7">
        <w:rPr>
          <w:rStyle w:val="s2"/>
        </w:rPr>
        <w:t xml:space="preserve"> </w:t>
      </w:r>
      <w:r w:rsidR="00BE6AB7" w:rsidRPr="00BE6AB7">
        <w:rPr>
          <w:rStyle w:val="s2"/>
        </w:rPr>
        <w:t>VCAT</w:t>
      </w:r>
      <w:r w:rsidR="00A963D2" w:rsidRPr="00BE6AB7">
        <w:rPr>
          <w:rStyle w:val="s2"/>
        </w:rPr>
        <w:t xml:space="preserve"> will then consider the request</w:t>
      </w:r>
      <w:r w:rsidRPr="00BE6AB7">
        <w:rPr>
          <w:rStyle w:val="s2"/>
        </w:rPr>
        <w:t>.</w:t>
      </w:r>
    </w:p>
    <w:p w14:paraId="22983786" w14:textId="73381655" w:rsidR="00A963D2" w:rsidRPr="00BE6AB7" w:rsidRDefault="00A963D2" w:rsidP="00BE6AB7">
      <w:pPr>
        <w:rPr>
          <w:rStyle w:val="s2"/>
        </w:rPr>
      </w:pPr>
      <w:r w:rsidRPr="00BE6AB7">
        <w:rPr>
          <w:rStyle w:val="s2"/>
        </w:rPr>
        <w:t xml:space="preserve">If </w:t>
      </w:r>
      <w:r w:rsidR="00BE6AB7">
        <w:rPr>
          <w:rStyle w:val="s2"/>
        </w:rPr>
        <w:t>VCAT</w:t>
      </w:r>
      <w:r w:rsidRPr="00BE6AB7">
        <w:rPr>
          <w:rStyle w:val="s2"/>
        </w:rPr>
        <w:t xml:space="preserve"> agrees that the matter is suitable for a determination </w:t>
      </w:r>
      <w:r w:rsidR="00D7524E" w:rsidRPr="00BE6AB7">
        <w:rPr>
          <w:rStyle w:val="s2"/>
        </w:rPr>
        <w:t>‘</w:t>
      </w:r>
      <w:r w:rsidRPr="00BE6AB7">
        <w:rPr>
          <w:rStyle w:val="s2"/>
        </w:rPr>
        <w:t xml:space="preserve">on the papers’, it will issue an order to all the parties </w:t>
      </w:r>
      <w:r w:rsidR="0015231B" w:rsidRPr="00BE6AB7">
        <w:rPr>
          <w:rStyle w:val="s2"/>
        </w:rPr>
        <w:t>specifying</w:t>
      </w:r>
      <w:r w:rsidRPr="00BE6AB7">
        <w:rPr>
          <w:rStyle w:val="s2"/>
        </w:rPr>
        <w:t xml:space="preserve"> </w:t>
      </w:r>
      <w:r w:rsidR="00D7524E" w:rsidRPr="00BE6AB7">
        <w:rPr>
          <w:rStyle w:val="s2"/>
        </w:rPr>
        <w:t>the process to be followed</w:t>
      </w:r>
      <w:r w:rsidRPr="00BE6AB7">
        <w:rPr>
          <w:rStyle w:val="s2"/>
        </w:rPr>
        <w:t>.</w:t>
      </w:r>
      <w:r w:rsidR="00BE6AB7">
        <w:rPr>
          <w:rStyle w:val="s2"/>
        </w:rPr>
        <w:t xml:space="preserve"> </w:t>
      </w:r>
      <w:r w:rsidR="00825637" w:rsidRPr="00BE6AB7">
        <w:rPr>
          <w:rStyle w:val="s2"/>
        </w:rPr>
        <w:t>This may var</w:t>
      </w:r>
      <w:r w:rsidR="00C944BD" w:rsidRPr="00BE6AB7">
        <w:rPr>
          <w:rStyle w:val="s2"/>
        </w:rPr>
        <w:t>y</w:t>
      </w:r>
      <w:r w:rsidR="00825637" w:rsidRPr="00BE6AB7">
        <w:rPr>
          <w:rStyle w:val="s2"/>
        </w:rPr>
        <w:t xml:space="preserve"> from the parties</w:t>
      </w:r>
      <w:r w:rsidR="00C944BD" w:rsidRPr="00BE6AB7">
        <w:rPr>
          <w:rStyle w:val="s2"/>
        </w:rPr>
        <w:t>’</w:t>
      </w:r>
      <w:r w:rsidR="00825637" w:rsidRPr="00BE6AB7">
        <w:rPr>
          <w:rStyle w:val="s2"/>
        </w:rPr>
        <w:t xml:space="preserve"> agreed timetable.</w:t>
      </w:r>
    </w:p>
    <w:p w14:paraId="7B5F63AC" w14:textId="7F6272C2" w:rsidR="00DE7F3B" w:rsidRPr="00BE6AB7" w:rsidRDefault="00DE7F3B" w:rsidP="00BE6AB7">
      <w:pPr>
        <w:rPr>
          <w:rStyle w:val="s3"/>
        </w:rPr>
      </w:pPr>
      <w:r w:rsidRPr="00BE6AB7">
        <w:rPr>
          <w:rStyle w:val="s3"/>
        </w:rPr>
        <w:t>The parties must comply with the tim</w:t>
      </w:r>
      <w:r w:rsidR="00010803" w:rsidRPr="00BE6AB7">
        <w:rPr>
          <w:rStyle w:val="s3"/>
        </w:rPr>
        <w:t>eline</w:t>
      </w:r>
      <w:r w:rsidRPr="00BE6AB7">
        <w:rPr>
          <w:rStyle w:val="s3"/>
        </w:rPr>
        <w:t xml:space="preserve"> for the circulation of draft permit conditions, submissions and submissions in reply.</w:t>
      </w:r>
    </w:p>
    <w:p w14:paraId="51DE2C93" w14:textId="77777777" w:rsidR="004C79A2" w:rsidRDefault="004C79A2">
      <w:pPr>
        <w:rPr>
          <w:rStyle w:val="s3"/>
          <w:b/>
          <w:bCs/>
          <w:sz w:val="26"/>
          <w:szCs w:val="26"/>
        </w:rPr>
      </w:pPr>
      <w:r>
        <w:rPr>
          <w:rStyle w:val="s3"/>
        </w:rPr>
        <w:br w:type="page"/>
      </w:r>
    </w:p>
    <w:p w14:paraId="7165C6CF" w14:textId="70BE5C0C" w:rsidR="00A963D2" w:rsidRPr="00F02DCA" w:rsidRDefault="00A963D2" w:rsidP="00BE6AB7">
      <w:pPr>
        <w:pStyle w:val="Heading2"/>
        <w:rPr>
          <w:rStyle w:val="s3"/>
          <w:b w:val="0"/>
          <w:bCs w:val="0"/>
        </w:rPr>
      </w:pPr>
      <w:r w:rsidRPr="00F02DCA">
        <w:rPr>
          <w:rStyle w:val="s3"/>
        </w:rPr>
        <w:lastRenderedPageBreak/>
        <w:t>Can amended plans be prepared?</w:t>
      </w:r>
    </w:p>
    <w:p w14:paraId="4E43096B" w14:textId="0B1E7014" w:rsidR="005F74B0" w:rsidRPr="00BE6AB7" w:rsidRDefault="00A963D2" w:rsidP="00BE6AB7">
      <w:pPr>
        <w:rPr>
          <w:rStyle w:val="s3"/>
        </w:rPr>
      </w:pPr>
      <w:bookmarkStart w:id="0" w:name="_Hlk37083705"/>
      <w:r w:rsidRPr="00BE6AB7">
        <w:rPr>
          <w:rStyle w:val="s3"/>
        </w:rPr>
        <w:t>Yes</w:t>
      </w:r>
      <w:r w:rsidR="00B92CB3" w:rsidRPr="00BE6AB7">
        <w:rPr>
          <w:rStyle w:val="s3"/>
        </w:rPr>
        <w:t>.</w:t>
      </w:r>
      <w:r w:rsidR="007064C3" w:rsidRPr="00BE6AB7">
        <w:rPr>
          <w:rStyle w:val="s3"/>
        </w:rPr>
        <w:t xml:space="preserve"> </w:t>
      </w:r>
      <w:bookmarkStart w:id="1" w:name="_Hlk37082955"/>
      <w:r w:rsidR="007064C3" w:rsidRPr="00BE6AB7">
        <w:rPr>
          <w:rStyle w:val="s3"/>
        </w:rPr>
        <w:t xml:space="preserve">The procedure in Practice Note PNPE9 </w:t>
      </w:r>
      <w:r w:rsidR="007064C3" w:rsidRPr="00BE6AB7">
        <w:rPr>
          <w:rStyle w:val="s3"/>
          <w:i/>
          <w:iCs/>
        </w:rPr>
        <w:t>Amendment of Plans and Applications</w:t>
      </w:r>
      <w:r w:rsidR="007064C3" w:rsidRPr="00BE6AB7">
        <w:rPr>
          <w:rStyle w:val="s3"/>
        </w:rPr>
        <w:t xml:space="preserve"> must be followed.</w:t>
      </w:r>
      <w:r w:rsidR="00BE6AB7" w:rsidRPr="00BE6AB7">
        <w:rPr>
          <w:rStyle w:val="s3"/>
        </w:rPr>
        <w:t xml:space="preserve"> </w:t>
      </w:r>
      <w:r w:rsidR="001C3A8C" w:rsidRPr="00BE6AB7">
        <w:rPr>
          <w:rStyle w:val="s3"/>
        </w:rPr>
        <w:t xml:space="preserve">This must be done before reaching agreement to </w:t>
      </w:r>
      <w:r w:rsidR="007064C3" w:rsidRPr="00BE6AB7">
        <w:rPr>
          <w:rStyle w:val="s3"/>
        </w:rPr>
        <w:t>the matter</w:t>
      </w:r>
      <w:r w:rsidR="001C3A8C" w:rsidRPr="00BE6AB7">
        <w:rPr>
          <w:rStyle w:val="s3"/>
        </w:rPr>
        <w:t xml:space="preserve"> being determined</w:t>
      </w:r>
      <w:r w:rsidR="007064C3" w:rsidRPr="00BE6AB7">
        <w:rPr>
          <w:rStyle w:val="s3"/>
        </w:rPr>
        <w:t xml:space="preserve"> ‘on the </w:t>
      </w:r>
      <w:proofErr w:type="gramStart"/>
      <w:r w:rsidR="007064C3" w:rsidRPr="00BE6AB7">
        <w:rPr>
          <w:rStyle w:val="s3"/>
        </w:rPr>
        <w:t>papers’</w:t>
      </w:r>
      <w:proofErr w:type="gramEnd"/>
      <w:r w:rsidR="001C3A8C" w:rsidRPr="00BE6AB7">
        <w:rPr>
          <w:rStyle w:val="s3"/>
        </w:rPr>
        <w:t>.</w:t>
      </w:r>
    </w:p>
    <w:p w14:paraId="01B51691" w14:textId="1E598A0A" w:rsidR="00955744" w:rsidRPr="00F02DCA" w:rsidRDefault="001C3A8C" w:rsidP="00BE6AB7">
      <w:pPr>
        <w:rPr>
          <w:rStyle w:val="s3"/>
          <w:b/>
          <w:bCs/>
          <w:sz w:val="26"/>
          <w:szCs w:val="26"/>
        </w:rPr>
      </w:pPr>
      <w:r w:rsidRPr="00BE6AB7">
        <w:rPr>
          <w:rStyle w:val="s3"/>
        </w:rPr>
        <w:t xml:space="preserve">The agreement </w:t>
      </w:r>
      <w:r w:rsidR="005F74B0" w:rsidRPr="00BE6AB7">
        <w:rPr>
          <w:rStyle w:val="s3"/>
        </w:rPr>
        <w:t xml:space="preserve">to the matter being determined ‘on the papers’ </w:t>
      </w:r>
      <w:r w:rsidR="007064C3" w:rsidRPr="00BE6AB7">
        <w:rPr>
          <w:rStyle w:val="s3"/>
        </w:rPr>
        <w:t xml:space="preserve">must </w:t>
      </w:r>
      <w:r w:rsidR="00911993" w:rsidRPr="00BE6AB7">
        <w:rPr>
          <w:rStyle w:val="s3"/>
        </w:rPr>
        <w:t xml:space="preserve">also </w:t>
      </w:r>
      <w:r w:rsidRPr="00BE6AB7">
        <w:rPr>
          <w:rStyle w:val="s3"/>
        </w:rPr>
        <w:t>be reached</w:t>
      </w:r>
      <w:r w:rsidR="007064C3" w:rsidRPr="00BE6AB7">
        <w:rPr>
          <w:rStyle w:val="s3"/>
        </w:rPr>
        <w:t xml:space="preserve"> after the time for lodging statements of grounds has passed and must include all parties, </w:t>
      </w:r>
      <w:bookmarkEnd w:id="0"/>
      <w:r w:rsidR="007064C3" w:rsidRPr="00BE6AB7">
        <w:rPr>
          <w:rStyle w:val="s3"/>
        </w:rPr>
        <w:t>including those persons who have</w:t>
      </w:r>
      <w:r w:rsidR="006F2BEF" w:rsidRPr="00BE6AB7">
        <w:rPr>
          <w:rStyle w:val="s3"/>
        </w:rPr>
        <w:t xml:space="preserve"> become parties by</w:t>
      </w:r>
      <w:r w:rsidR="007064C3" w:rsidRPr="00BE6AB7">
        <w:rPr>
          <w:rStyle w:val="s3"/>
        </w:rPr>
        <w:t xml:space="preserve"> respond</w:t>
      </w:r>
      <w:r w:rsidR="006F2BEF" w:rsidRPr="00BE6AB7">
        <w:rPr>
          <w:rStyle w:val="s3"/>
        </w:rPr>
        <w:t>ing</w:t>
      </w:r>
      <w:r w:rsidR="007064C3" w:rsidRPr="00BE6AB7">
        <w:rPr>
          <w:rStyle w:val="s3"/>
        </w:rPr>
        <w:t xml:space="preserve"> to the amended plans.</w:t>
      </w:r>
      <w:bookmarkEnd w:id="1"/>
    </w:p>
    <w:p w14:paraId="2A4B9D44" w14:textId="7C87D2F6" w:rsidR="00B937E3" w:rsidRPr="00F02DCA" w:rsidRDefault="00E73CF9" w:rsidP="00BE6AB7">
      <w:pPr>
        <w:pStyle w:val="Heading2"/>
      </w:pPr>
      <w:r w:rsidRPr="00F02DCA">
        <w:rPr>
          <w:rStyle w:val="s3"/>
        </w:rPr>
        <w:t>W</w:t>
      </w:r>
      <w:r w:rsidR="00B937E3" w:rsidRPr="00F02DCA">
        <w:rPr>
          <w:rStyle w:val="s3"/>
        </w:rPr>
        <w:t>ill I get a fair go?</w:t>
      </w:r>
    </w:p>
    <w:p w14:paraId="1E39264A" w14:textId="25F4D2F8" w:rsidR="00825637" w:rsidRPr="00BE6AB7" w:rsidRDefault="007064C3" w:rsidP="00BE6AB7">
      <w:pPr>
        <w:rPr>
          <w:rStyle w:val="s2"/>
        </w:rPr>
      </w:pPr>
      <w:r w:rsidRPr="00BE6AB7">
        <w:rPr>
          <w:rStyle w:val="s2"/>
        </w:rPr>
        <w:t>A</w:t>
      </w:r>
      <w:r w:rsidR="00B937E3" w:rsidRPr="00BE6AB7">
        <w:rPr>
          <w:rStyle w:val="s2"/>
        </w:rPr>
        <w:t xml:space="preserve">ll parties </w:t>
      </w:r>
      <w:r w:rsidRPr="00BE6AB7">
        <w:rPr>
          <w:rStyle w:val="s2"/>
        </w:rPr>
        <w:t>will be given the</w:t>
      </w:r>
      <w:r w:rsidR="00B937E3" w:rsidRPr="00BE6AB7">
        <w:rPr>
          <w:rStyle w:val="s2"/>
        </w:rPr>
        <w:t xml:space="preserve"> opportunity to make submissions, submissions </w:t>
      </w:r>
      <w:r w:rsidRPr="00BE6AB7">
        <w:rPr>
          <w:rStyle w:val="s2"/>
        </w:rPr>
        <w:t>in reply</w:t>
      </w:r>
      <w:r w:rsidR="00B50191" w:rsidRPr="00BE6AB7">
        <w:rPr>
          <w:rStyle w:val="s2"/>
        </w:rPr>
        <w:t xml:space="preserve"> and provide any expert evidence</w:t>
      </w:r>
      <w:r w:rsidR="00B937E3" w:rsidRPr="00BE6AB7">
        <w:rPr>
          <w:rStyle w:val="s2"/>
        </w:rPr>
        <w:t>.</w:t>
      </w:r>
      <w:r w:rsidR="00BE6AB7" w:rsidRPr="00BE6AB7">
        <w:rPr>
          <w:rStyle w:val="s2"/>
        </w:rPr>
        <w:t xml:space="preserve"> </w:t>
      </w:r>
      <w:r w:rsidR="00825637" w:rsidRPr="00BE6AB7">
        <w:rPr>
          <w:rStyle w:val="s2"/>
        </w:rPr>
        <w:t xml:space="preserve">Parties are encouraged to provide photographs and other visual </w:t>
      </w:r>
      <w:r w:rsidR="00122990" w:rsidRPr="00BE6AB7">
        <w:rPr>
          <w:rStyle w:val="s2"/>
        </w:rPr>
        <w:t>aids</w:t>
      </w:r>
      <w:r w:rsidR="00825637" w:rsidRPr="00BE6AB7">
        <w:rPr>
          <w:rStyle w:val="s2"/>
        </w:rPr>
        <w:t>.</w:t>
      </w:r>
    </w:p>
    <w:p w14:paraId="5F4179B2" w14:textId="3DCB8F7E" w:rsidR="00825637" w:rsidRPr="00BE6AB7" w:rsidRDefault="00AF456D" w:rsidP="00BE6AB7">
      <w:pPr>
        <w:rPr>
          <w:rStyle w:val="s2"/>
        </w:rPr>
      </w:pPr>
      <w:r w:rsidRPr="00BE6AB7">
        <w:t>Any questions in cross-examination must be incorporated into written submissions and the written answers by the expert witness must be incorporated into the written reply submissions.</w:t>
      </w:r>
      <w:r w:rsidR="00BE6AB7" w:rsidRPr="00BE6AB7">
        <w:t xml:space="preserve"> </w:t>
      </w:r>
      <w:r w:rsidR="00B937E3" w:rsidRPr="00BE6AB7">
        <w:rPr>
          <w:rStyle w:val="s2"/>
        </w:rPr>
        <w:t>All submissions</w:t>
      </w:r>
      <w:r w:rsidR="00B50191" w:rsidRPr="00BE6AB7">
        <w:rPr>
          <w:rStyle w:val="s2"/>
        </w:rPr>
        <w:t>, all supporting material and any expert evidence</w:t>
      </w:r>
      <w:r w:rsidR="00B937E3" w:rsidRPr="00BE6AB7">
        <w:rPr>
          <w:rStyle w:val="s2"/>
        </w:rPr>
        <w:t xml:space="preserve"> </w:t>
      </w:r>
      <w:r w:rsidR="004051E1" w:rsidRPr="00BE6AB7">
        <w:rPr>
          <w:rStyle w:val="s2"/>
        </w:rPr>
        <w:t xml:space="preserve">will be considered </w:t>
      </w:r>
      <w:r w:rsidR="00B937E3" w:rsidRPr="00BE6AB7">
        <w:rPr>
          <w:rStyle w:val="s2"/>
        </w:rPr>
        <w:t xml:space="preserve">by the </w:t>
      </w:r>
      <w:r w:rsidR="006B1906">
        <w:rPr>
          <w:rStyle w:val="s2"/>
        </w:rPr>
        <w:t>VCAT m</w:t>
      </w:r>
      <w:r w:rsidR="00B937E3" w:rsidRPr="00BE6AB7">
        <w:rPr>
          <w:rStyle w:val="s2"/>
        </w:rPr>
        <w:t>ember</w:t>
      </w:r>
      <w:r w:rsidR="004051E1" w:rsidRPr="00BE6AB7">
        <w:rPr>
          <w:rStyle w:val="s2"/>
        </w:rPr>
        <w:t>.</w:t>
      </w:r>
    </w:p>
    <w:p w14:paraId="0497C2F9" w14:textId="2F2B8082" w:rsidR="00B937E3" w:rsidRPr="00BE6AB7" w:rsidRDefault="00281370" w:rsidP="00BE6AB7">
      <w:r w:rsidRPr="00BE6AB7">
        <w:rPr>
          <w:rStyle w:val="s2"/>
        </w:rPr>
        <w:t xml:space="preserve">The decision, and the reasons for the decision, will be provided in writing by the </w:t>
      </w:r>
      <w:r w:rsidR="006B1906">
        <w:rPr>
          <w:rStyle w:val="s2"/>
        </w:rPr>
        <w:t>VCAT m</w:t>
      </w:r>
      <w:r w:rsidRPr="00BE6AB7">
        <w:rPr>
          <w:rStyle w:val="s2"/>
        </w:rPr>
        <w:t>ember</w:t>
      </w:r>
      <w:r w:rsidR="004051E1" w:rsidRPr="00BE6AB7">
        <w:rPr>
          <w:rStyle w:val="s2"/>
        </w:rPr>
        <w:t>.</w:t>
      </w:r>
    </w:p>
    <w:p w14:paraId="4A51E0F7" w14:textId="6C2F3558" w:rsidR="00B937E3" w:rsidRPr="00F02DCA" w:rsidRDefault="00B937E3" w:rsidP="00BE6AB7">
      <w:pPr>
        <w:pStyle w:val="Heading2"/>
      </w:pPr>
      <w:r w:rsidRPr="00F02DCA">
        <w:rPr>
          <w:rStyle w:val="s3"/>
        </w:rPr>
        <w:t xml:space="preserve">What happens if </w:t>
      </w:r>
      <w:r w:rsidR="00BE6AB7" w:rsidRPr="00586A57">
        <w:t>VCAT</w:t>
      </w:r>
      <w:r w:rsidRPr="00F02DCA">
        <w:rPr>
          <w:rStyle w:val="s3"/>
        </w:rPr>
        <w:t xml:space="preserve"> has a concern that the parties have</w:t>
      </w:r>
      <w:r w:rsidR="009F6C8F" w:rsidRPr="00F02DCA">
        <w:rPr>
          <w:rStyle w:val="s3"/>
        </w:rPr>
        <w:t xml:space="preserve"> not</w:t>
      </w:r>
      <w:r w:rsidRPr="00F02DCA">
        <w:rPr>
          <w:rStyle w:val="s3"/>
        </w:rPr>
        <w:t xml:space="preserve"> addressed?</w:t>
      </w:r>
    </w:p>
    <w:p w14:paraId="3921ACCC" w14:textId="05837179" w:rsidR="00B937E3" w:rsidRPr="00BE6AB7" w:rsidRDefault="00BE6AB7" w:rsidP="00BE6AB7">
      <w:pPr>
        <w:rPr>
          <w:sz w:val="22"/>
          <w:szCs w:val="22"/>
        </w:rPr>
      </w:pPr>
      <w:r w:rsidRPr="00BE6AB7">
        <w:rPr>
          <w:rStyle w:val="s2"/>
        </w:rPr>
        <w:t>VCAT</w:t>
      </w:r>
      <w:r w:rsidR="009F6C8F" w:rsidRPr="00BE6AB7">
        <w:rPr>
          <w:rStyle w:val="s2"/>
        </w:rPr>
        <w:t xml:space="preserve"> will issue an order if it needs clarification on any issues either raised or not raised by the parties</w:t>
      </w:r>
      <w:r w:rsidR="00B937E3" w:rsidRPr="00BE6AB7">
        <w:rPr>
          <w:rStyle w:val="s2"/>
        </w:rPr>
        <w:t>.</w:t>
      </w:r>
      <w:r w:rsidRPr="00BE6AB7">
        <w:rPr>
          <w:rStyle w:val="s2"/>
        </w:rPr>
        <w:t xml:space="preserve"> </w:t>
      </w:r>
      <w:r w:rsidR="009F6C8F" w:rsidRPr="00BE6AB7">
        <w:rPr>
          <w:rStyle w:val="s2"/>
        </w:rPr>
        <w:t>The parties will be given an opportunity to make further written submissions addressing the issues detailed in the order.</w:t>
      </w:r>
    </w:p>
    <w:p w14:paraId="49DB69E4" w14:textId="77777777" w:rsidR="00B937E3" w:rsidRPr="00F02DCA" w:rsidRDefault="00B937E3" w:rsidP="00BE6AB7">
      <w:pPr>
        <w:pStyle w:val="Heading2"/>
      </w:pPr>
      <w:r w:rsidRPr="00F02DCA">
        <w:rPr>
          <w:rStyle w:val="s3"/>
        </w:rPr>
        <w:t>What if preliminary matters need to be determined?</w:t>
      </w:r>
    </w:p>
    <w:p w14:paraId="505B8638" w14:textId="604A2D8F" w:rsidR="00D7524E" w:rsidRPr="00BE6AB7" w:rsidRDefault="00B937E3" w:rsidP="00BE6AB7">
      <w:pPr>
        <w:rPr>
          <w:rStyle w:val="s2"/>
        </w:rPr>
      </w:pPr>
      <w:r w:rsidRPr="00BE6AB7">
        <w:rPr>
          <w:rStyle w:val="s2"/>
        </w:rPr>
        <w:t xml:space="preserve">If the parties identify any preliminary matters </w:t>
      </w:r>
      <w:r w:rsidR="006332EF" w:rsidRPr="00BE6AB7">
        <w:rPr>
          <w:rStyle w:val="s2"/>
        </w:rPr>
        <w:t xml:space="preserve">that </w:t>
      </w:r>
      <w:r w:rsidRPr="00BE6AB7">
        <w:rPr>
          <w:rStyle w:val="s2"/>
        </w:rPr>
        <w:t xml:space="preserve">need to be determined before making submissions on the merits of a proposal, then the parties should write to </w:t>
      </w:r>
      <w:r w:rsidR="00BE6AB7" w:rsidRPr="00BE6AB7">
        <w:rPr>
          <w:rStyle w:val="s2"/>
        </w:rPr>
        <w:t>VCAT</w:t>
      </w:r>
      <w:r w:rsidRPr="00BE6AB7">
        <w:rPr>
          <w:rStyle w:val="s2"/>
        </w:rPr>
        <w:t xml:space="preserve"> identifying the preliminary matter</w:t>
      </w:r>
      <w:r w:rsidR="006332EF" w:rsidRPr="00BE6AB7">
        <w:rPr>
          <w:rStyle w:val="s2"/>
        </w:rPr>
        <w:t>/s</w:t>
      </w:r>
      <w:r w:rsidRPr="00BE6AB7">
        <w:rPr>
          <w:rStyle w:val="s2"/>
        </w:rPr>
        <w:t xml:space="preserve">, and seek direction as to the appropriate process for </w:t>
      </w:r>
      <w:r w:rsidR="00D7524E" w:rsidRPr="00BE6AB7">
        <w:rPr>
          <w:rStyle w:val="s2"/>
        </w:rPr>
        <w:t>determining these</w:t>
      </w:r>
      <w:r w:rsidRPr="00BE6AB7">
        <w:rPr>
          <w:rStyle w:val="s2"/>
        </w:rPr>
        <w:t>.</w:t>
      </w:r>
    </w:p>
    <w:p w14:paraId="44C02C43" w14:textId="0245F1D7" w:rsidR="00B937E3" w:rsidRPr="00BE6AB7" w:rsidRDefault="00B937E3" w:rsidP="00BE6AB7">
      <w:pPr>
        <w:rPr>
          <w:sz w:val="22"/>
          <w:szCs w:val="22"/>
        </w:rPr>
      </w:pPr>
      <w:r w:rsidRPr="00BE6AB7">
        <w:rPr>
          <w:rStyle w:val="s2"/>
        </w:rPr>
        <w:t xml:space="preserve">Examples of preliminary matters that should be determined </w:t>
      </w:r>
      <w:r w:rsidR="006332EF" w:rsidRPr="00BE6AB7">
        <w:rPr>
          <w:rStyle w:val="s2"/>
        </w:rPr>
        <w:t>before</w:t>
      </w:r>
      <w:r w:rsidRPr="00BE6AB7">
        <w:rPr>
          <w:rStyle w:val="s2"/>
        </w:rPr>
        <w:t xml:space="preserve"> making submissions on the merits of a proposal include:</w:t>
      </w:r>
    </w:p>
    <w:p w14:paraId="1B6ED94A" w14:textId="3BE699F7" w:rsidR="00B937E3" w:rsidRPr="00BE6AB7" w:rsidRDefault="00D7524E" w:rsidP="00BE6AB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E6AB7">
        <w:rPr>
          <w:rStyle w:val="s2"/>
          <w:rFonts w:eastAsia="Times New Roman"/>
        </w:rPr>
        <w:t>w</w:t>
      </w:r>
      <w:r w:rsidR="00B937E3" w:rsidRPr="00BE6AB7">
        <w:rPr>
          <w:rStyle w:val="s2"/>
          <w:rFonts w:eastAsia="Times New Roman"/>
        </w:rPr>
        <w:t xml:space="preserve">hether a Cultural Heritage Management Plan </w:t>
      </w:r>
      <w:r w:rsidR="006332EF" w:rsidRPr="00BE6AB7">
        <w:rPr>
          <w:rStyle w:val="s2"/>
          <w:rFonts w:eastAsia="Times New Roman"/>
        </w:rPr>
        <w:t>is required</w:t>
      </w:r>
    </w:p>
    <w:p w14:paraId="44204543" w14:textId="526FCCEF" w:rsidR="00B937E3" w:rsidRPr="00BE6AB7" w:rsidRDefault="00D7524E" w:rsidP="00BE6AB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E6AB7">
        <w:rPr>
          <w:rStyle w:val="s2"/>
          <w:rFonts w:eastAsia="Times New Roman"/>
        </w:rPr>
        <w:t>w</w:t>
      </w:r>
      <w:r w:rsidR="00B937E3" w:rsidRPr="00BE6AB7">
        <w:rPr>
          <w:rStyle w:val="s2"/>
          <w:rFonts w:eastAsia="Times New Roman"/>
        </w:rPr>
        <w:t xml:space="preserve">hether a proposal </w:t>
      </w:r>
      <w:r w:rsidR="006332EF" w:rsidRPr="00BE6AB7">
        <w:rPr>
          <w:rStyle w:val="s2"/>
          <w:rFonts w:eastAsia="Times New Roman"/>
        </w:rPr>
        <w:t>complies with</w:t>
      </w:r>
      <w:r w:rsidR="00B937E3" w:rsidRPr="00BE6AB7">
        <w:rPr>
          <w:rStyle w:val="s2"/>
          <w:rFonts w:eastAsia="Times New Roman"/>
        </w:rPr>
        <w:t xml:space="preserve"> a mandatory requirement </w:t>
      </w:r>
      <w:r w:rsidR="006332EF" w:rsidRPr="00BE6AB7">
        <w:rPr>
          <w:rStyle w:val="s2"/>
          <w:rFonts w:eastAsia="Times New Roman"/>
        </w:rPr>
        <w:t>of the</w:t>
      </w:r>
      <w:r w:rsidR="00B937E3" w:rsidRPr="00BE6AB7">
        <w:rPr>
          <w:rStyle w:val="s2"/>
          <w:rFonts w:eastAsia="Times New Roman"/>
        </w:rPr>
        <w:t xml:space="preserve"> planning scheme</w:t>
      </w:r>
    </w:p>
    <w:p w14:paraId="250E031E" w14:textId="424D8B24" w:rsidR="00B937E3" w:rsidRPr="00BE6AB7" w:rsidRDefault="00D7524E" w:rsidP="00BE6AB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E6AB7">
        <w:rPr>
          <w:rStyle w:val="s2"/>
          <w:rFonts w:eastAsia="Times New Roman"/>
        </w:rPr>
        <w:t>w</w:t>
      </w:r>
      <w:r w:rsidR="00B937E3" w:rsidRPr="00BE6AB7">
        <w:rPr>
          <w:rStyle w:val="s2"/>
          <w:rFonts w:eastAsia="Times New Roman"/>
        </w:rPr>
        <w:t>hether additional permit requirements apply under the planning scheme</w:t>
      </w:r>
      <w:r w:rsidR="00825637" w:rsidRPr="00BE6AB7">
        <w:rPr>
          <w:rStyle w:val="s2"/>
          <w:rFonts w:eastAsia="Times New Roman"/>
        </w:rPr>
        <w:t>.</w:t>
      </w:r>
    </w:p>
    <w:p w14:paraId="41E158EA" w14:textId="6005B292" w:rsidR="00955744" w:rsidRPr="00F02DCA" w:rsidRDefault="00955744" w:rsidP="00BE6AB7">
      <w:pPr>
        <w:pStyle w:val="Heading2"/>
        <w:rPr>
          <w:rStyle w:val="s3"/>
          <w:b w:val="0"/>
          <w:bCs w:val="0"/>
        </w:rPr>
      </w:pPr>
      <w:r w:rsidRPr="00F02DCA">
        <w:rPr>
          <w:rStyle w:val="s3"/>
        </w:rPr>
        <w:t>What if there is a question of law?</w:t>
      </w:r>
    </w:p>
    <w:p w14:paraId="122FE013" w14:textId="77777777" w:rsidR="00C17909" w:rsidRPr="00BE6AB7" w:rsidRDefault="00955744" w:rsidP="00BE6AB7">
      <w:pPr>
        <w:rPr>
          <w:rStyle w:val="s2"/>
        </w:rPr>
      </w:pPr>
      <w:r w:rsidRPr="00BE6AB7">
        <w:rPr>
          <w:rStyle w:val="s2"/>
        </w:rPr>
        <w:t>If the proceeding raises a question of law</w:t>
      </w:r>
      <w:r w:rsidR="00C17909" w:rsidRPr="00BE6AB7">
        <w:rPr>
          <w:rStyle w:val="s2"/>
        </w:rPr>
        <w:t>:</w:t>
      </w:r>
    </w:p>
    <w:p w14:paraId="2EBA248D" w14:textId="7AB9E69A" w:rsidR="00C17909" w:rsidRPr="00BE6AB7" w:rsidRDefault="00C17909" w:rsidP="00BE6AB7">
      <w:pPr>
        <w:pStyle w:val="ListParagraph"/>
        <w:numPr>
          <w:ilvl w:val="0"/>
          <w:numId w:val="2"/>
        </w:numPr>
        <w:rPr>
          <w:rStyle w:val="s2"/>
          <w:rFonts w:eastAsia="Times New Roman"/>
        </w:rPr>
      </w:pPr>
      <w:r w:rsidRPr="00BE6AB7">
        <w:rPr>
          <w:rStyle w:val="s2"/>
          <w:rFonts w:eastAsia="Times New Roman"/>
        </w:rPr>
        <w:t xml:space="preserve">the parties must agree on the wording on </w:t>
      </w:r>
      <w:r w:rsidR="00955744" w:rsidRPr="00BE6AB7">
        <w:rPr>
          <w:rStyle w:val="s2"/>
          <w:rFonts w:eastAsia="Times New Roman"/>
        </w:rPr>
        <w:t>the question of law</w:t>
      </w:r>
      <w:r w:rsidRPr="00BE6AB7">
        <w:rPr>
          <w:rStyle w:val="s2"/>
          <w:rFonts w:eastAsia="Times New Roman"/>
        </w:rPr>
        <w:t>; and</w:t>
      </w:r>
    </w:p>
    <w:p w14:paraId="07AC41FF" w14:textId="3FF52DA1" w:rsidR="00955744" w:rsidRPr="00BE6AB7" w:rsidRDefault="00955744" w:rsidP="00BE6AB7">
      <w:pPr>
        <w:pStyle w:val="ListParagraph"/>
        <w:numPr>
          <w:ilvl w:val="0"/>
          <w:numId w:val="2"/>
        </w:numPr>
        <w:rPr>
          <w:rStyle w:val="s2"/>
          <w:rFonts w:eastAsia="Times New Roman"/>
        </w:rPr>
      </w:pPr>
      <w:r w:rsidRPr="00BE6AB7">
        <w:rPr>
          <w:rStyle w:val="s2"/>
          <w:rFonts w:eastAsia="Times New Roman"/>
        </w:rPr>
        <w:t xml:space="preserve">the parties must state whether they agree to the question of law being determined by a </w:t>
      </w:r>
      <w:r w:rsidR="006B1906">
        <w:rPr>
          <w:rStyle w:val="s2"/>
          <w:rFonts w:eastAsia="Times New Roman"/>
        </w:rPr>
        <w:t>m</w:t>
      </w:r>
      <w:r w:rsidRPr="00BE6AB7">
        <w:rPr>
          <w:rStyle w:val="s2"/>
          <w:rFonts w:eastAsia="Times New Roman"/>
        </w:rPr>
        <w:t xml:space="preserve">ember of </w:t>
      </w:r>
      <w:r w:rsidR="006B1906">
        <w:rPr>
          <w:rStyle w:val="s2"/>
          <w:rFonts w:eastAsia="Times New Roman"/>
        </w:rPr>
        <w:t>VCAT</w:t>
      </w:r>
      <w:r w:rsidRPr="00BE6AB7">
        <w:rPr>
          <w:rStyle w:val="s2"/>
          <w:rFonts w:eastAsia="Times New Roman"/>
        </w:rPr>
        <w:t xml:space="preserve"> who is not a legal </w:t>
      </w:r>
      <w:r w:rsidR="006B1906">
        <w:rPr>
          <w:rStyle w:val="s2"/>
          <w:rFonts w:eastAsia="Times New Roman"/>
        </w:rPr>
        <w:t>m</w:t>
      </w:r>
      <w:r w:rsidRPr="00BE6AB7">
        <w:rPr>
          <w:rStyle w:val="s2"/>
          <w:rFonts w:eastAsia="Times New Roman"/>
        </w:rPr>
        <w:t>ember.</w:t>
      </w:r>
    </w:p>
    <w:p w14:paraId="05B94D68" w14:textId="000E4FEE" w:rsidR="000C5062" w:rsidRPr="00F02DCA" w:rsidRDefault="000C5062" w:rsidP="006B1906">
      <w:pPr>
        <w:pStyle w:val="Heading2"/>
        <w:rPr>
          <w:rStyle w:val="s3"/>
          <w:b w:val="0"/>
          <w:bCs w:val="0"/>
        </w:rPr>
      </w:pPr>
      <w:r w:rsidRPr="00F02DCA">
        <w:rPr>
          <w:rStyle w:val="s3"/>
        </w:rPr>
        <w:lastRenderedPageBreak/>
        <w:t xml:space="preserve">Will </w:t>
      </w:r>
      <w:r w:rsidR="006B1906" w:rsidRPr="006B1906">
        <w:rPr>
          <w:rStyle w:val="s3"/>
        </w:rPr>
        <w:t>VCAT</w:t>
      </w:r>
      <w:r w:rsidRPr="00F02DCA">
        <w:rPr>
          <w:rStyle w:val="s3"/>
        </w:rPr>
        <w:t xml:space="preserve"> do a site inspection?</w:t>
      </w:r>
    </w:p>
    <w:p w14:paraId="037462F4" w14:textId="34A4D40E" w:rsidR="000C5062" w:rsidRPr="006B1906" w:rsidRDefault="000C5062" w:rsidP="00BE6AB7">
      <w:pPr>
        <w:rPr>
          <w:rStyle w:val="s3"/>
        </w:rPr>
      </w:pPr>
      <w:bookmarkStart w:id="2" w:name="_Hlk36638686"/>
      <w:r w:rsidRPr="006B1906">
        <w:t xml:space="preserve">A site inspection is at the discretion of the </w:t>
      </w:r>
      <w:r w:rsidR="006B1906" w:rsidRPr="006B1906">
        <w:t>VCAT m</w:t>
      </w:r>
      <w:r w:rsidRPr="006B1906">
        <w:t>ember.</w:t>
      </w:r>
      <w:r w:rsidR="00BE6AB7" w:rsidRPr="006B1906">
        <w:t xml:space="preserve"> </w:t>
      </w:r>
      <w:r w:rsidRPr="006B1906">
        <w:rPr>
          <w:rStyle w:val="s3"/>
        </w:rPr>
        <w:t xml:space="preserve">If a party considers that a site inspection should be undertaken, then this should be included in the written submissions and this will be considered by the </w:t>
      </w:r>
      <w:r w:rsidR="006B1906">
        <w:rPr>
          <w:rStyle w:val="s3"/>
        </w:rPr>
        <w:t>member</w:t>
      </w:r>
      <w:r w:rsidRPr="006B1906">
        <w:rPr>
          <w:rStyle w:val="s3"/>
        </w:rPr>
        <w:t>.</w:t>
      </w:r>
    </w:p>
    <w:bookmarkEnd w:id="2"/>
    <w:p w14:paraId="666D93E4" w14:textId="73B2E225" w:rsidR="004051E1" w:rsidRPr="006B1906" w:rsidRDefault="004051E1" w:rsidP="006B1906">
      <w:pPr>
        <w:pStyle w:val="Heading2"/>
        <w:rPr>
          <w:rStyle w:val="s3"/>
        </w:rPr>
      </w:pPr>
      <w:r w:rsidRPr="006B1906">
        <w:rPr>
          <w:rStyle w:val="s3"/>
        </w:rPr>
        <w:t xml:space="preserve">How long will the parties have to wait for a </w:t>
      </w:r>
      <w:r w:rsidR="00BA4369" w:rsidRPr="006B1906">
        <w:rPr>
          <w:rStyle w:val="s3"/>
        </w:rPr>
        <w:t>decision</w:t>
      </w:r>
      <w:r w:rsidRPr="006B1906">
        <w:rPr>
          <w:rStyle w:val="s3"/>
        </w:rPr>
        <w:t>?</w:t>
      </w:r>
    </w:p>
    <w:p w14:paraId="3D013EC4" w14:textId="0F1283BD" w:rsidR="000C5062" w:rsidRPr="006B1906" w:rsidRDefault="00B54027" w:rsidP="00BE6AB7">
      <w:pPr>
        <w:rPr>
          <w:rStyle w:val="s2"/>
        </w:rPr>
      </w:pPr>
      <w:r w:rsidRPr="006B1906">
        <w:rPr>
          <w:rStyle w:val="s2"/>
        </w:rPr>
        <w:t xml:space="preserve">As a guide, </w:t>
      </w:r>
      <w:r w:rsidR="006B1906">
        <w:rPr>
          <w:rStyle w:val="s2"/>
        </w:rPr>
        <w:t>VCAT</w:t>
      </w:r>
      <w:r w:rsidR="004051E1" w:rsidRPr="006B1906">
        <w:rPr>
          <w:rStyle w:val="s2"/>
        </w:rPr>
        <w:t xml:space="preserve"> </w:t>
      </w:r>
      <w:r w:rsidR="006332EF" w:rsidRPr="006B1906">
        <w:rPr>
          <w:rStyle w:val="s2"/>
        </w:rPr>
        <w:t>will make a decision</w:t>
      </w:r>
      <w:r w:rsidR="005246DF" w:rsidRPr="006B1906">
        <w:rPr>
          <w:rStyle w:val="s2"/>
        </w:rPr>
        <w:t xml:space="preserve"> </w:t>
      </w:r>
      <w:r w:rsidRPr="006B1906">
        <w:rPr>
          <w:rStyle w:val="s2"/>
        </w:rPr>
        <w:t xml:space="preserve">within two weeks once the final submissions are </w:t>
      </w:r>
      <w:r w:rsidR="00825637" w:rsidRPr="006B1906">
        <w:rPr>
          <w:rStyle w:val="s2"/>
        </w:rPr>
        <w:t>received by the Tribunal</w:t>
      </w:r>
      <w:r w:rsidRPr="006B1906">
        <w:rPr>
          <w:rStyle w:val="s2"/>
        </w:rPr>
        <w:t xml:space="preserve">. This may vary depending on the nature and complexity of the issues in dispute. </w:t>
      </w:r>
    </w:p>
    <w:p w14:paraId="207D4CCE" w14:textId="28EDE5D0" w:rsidR="00955744" w:rsidRPr="00F02DCA" w:rsidRDefault="00955744" w:rsidP="006B1906">
      <w:pPr>
        <w:pStyle w:val="Heading2"/>
        <w:rPr>
          <w:rStyle w:val="s3"/>
          <w:b w:val="0"/>
          <w:bCs w:val="0"/>
        </w:rPr>
      </w:pPr>
      <w:r w:rsidRPr="00F02DCA">
        <w:rPr>
          <w:rStyle w:val="s3"/>
        </w:rPr>
        <w:t xml:space="preserve">Is </w:t>
      </w:r>
      <w:r w:rsidR="00533107" w:rsidRPr="00F02DCA">
        <w:rPr>
          <w:rStyle w:val="s3"/>
        </w:rPr>
        <w:t>the</w:t>
      </w:r>
      <w:r w:rsidRPr="00F02DCA">
        <w:rPr>
          <w:rStyle w:val="s3"/>
        </w:rPr>
        <w:t xml:space="preserve"> </w:t>
      </w:r>
      <w:r w:rsidR="00533107" w:rsidRPr="00F02DCA">
        <w:rPr>
          <w:rStyle w:val="s3"/>
        </w:rPr>
        <w:t xml:space="preserve">same </w:t>
      </w:r>
      <w:r w:rsidRPr="00F02DCA">
        <w:rPr>
          <w:rStyle w:val="s3"/>
        </w:rPr>
        <w:t>hearing fee payable</w:t>
      </w:r>
      <w:r w:rsidR="00533107" w:rsidRPr="00F02DCA">
        <w:rPr>
          <w:rStyle w:val="s3"/>
        </w:rPr>
        <w:t xml:space="preserve"> as in the case of a hearing conducted in person</w:t>
      </w:r>
      <w:r w:rsidRPr="00F02DCA">
        <w:rPr>
          <w:rStyle w:val="s3"/>
        </w:rPr>
        <w:t>?</w:t>
      </w:r>
    </w:p>
    <w:p w14:paraId="56D1F521" w14:textId="2719E3D7" w:rsidR="00955744" w:rsidRPr="006B1906" w:rsidRDefault="00955744" w:rsidP="00BE6AB7">
      <w:pPr>
        <w:rPr>
          <w:rStyle w:val="s2"/>
        </w:rPr>
      </w:pPr>
      <w:r w:rsidRPr="006B1906">
        <w:rPr>
          <w:rStyle w:val="s2"/>
        </w:rPr>
        <w:t>Yes.</w:t>
      </w:r>
    </w:p>
    <w:p w14:paraId="75A7222D" w14:textId="55AF8D4F" w:rsidR="004051E1" w:rsidRPr="00F02DCA" w:rsidRDefault="00A20C80" w:rsidP="006B1906">
      <w:pPr>
        <w:pStyle w:val="Heading2"/>
        <w:rPr>
          <w:rStyle w:val="s3"/>
          <w:b w:val="0"/>
          <w:bCs w:val="0"/>
        </w:rPr>
      </w:pPr>
      <w:r w:rsidRPr="00F02DCA">
        <w:rPr>
          <w:rStyle w:val="s3"/>
        </w:rPr>
        <w:t xml:space="preserve">I’ve never been to a </w:t>
      </w:r>
      <w:r w:rsidR="006B1906">
        <w:rPr>
          <w:rStyle w:val="s3"/>
        </w:rPr>
        <w:t>VCAT</w:t>
      </w:r>
      <w:r w:rsidRPr="00F02DCA">
        <w:rPr>
          <w:rStyle w:val="s3"/>
        </w:rPr>
        <w:t xml:space="preserve"> hearing before, how do I make a written submission?</w:t>
      </w:r>
    </w:p>
    <w:p w14:paraId="4B3AE032" w14:textId="1704468E" w:rsidR="00A20C80" w:rsidRPr="00F02DCA" w:rsidRDefault="0015231B" w:rsidP="00BE6AB7">
      <w:r w:rsidRPr="00F02DCA">
        <w:rPr>
          <w:rStyle w:val="s2"/>
          <w:sz w:val="26"/>
          <w:szCs w:val="26"/>
        </w:rPr>
        <w:t xml:space="preserve">Information on making submissions </w:t>
      </w:r>
      <w:r w:rsidR="006B1906">
        <w:rPr>
          <w:rStyle w:val="s2"/>
          <w:sz w:val="26"/>
          <w:szCs w:val="26"/>
        </w:rPr>
        <w:t>can be found on the VCAT website. Go to</w:t>
      </w:r>
      <w:r w:rsidR="00A20C80" w:rsidRPr="00F02DCA">
        <w:rPr>
          <w:rStyle w:val="s2"/>
          <w:sz w:val="26"/>
          <w:szCs w:val="26"/>
        </w:rPr>
        <w:t>:</w:t>
      </w:r>
      <w:r w:rsidR="00BE6AB7">
        <w:t xml:space="preserve"> </w:t>
      </w:r>
      <w:hyperlink r:id="rId9" w:history="1">
        <w:r w:rsidR="00A20C80" w:rsidRPr="00F02DCA">
          <w:rPr>
            <w:rFonts w:eastAsia="Calibri"/>
            <w:color w:val="0563C1"/>
            <w:u w:val="single"/>
          </w:rPr>
          <w:t>https://www.vcat.vic.gov.au/resources/guide-for-submissions-in-hearings-planning-and-environment</w:t>
        </w:r>
      </w:hyperlink>
      <w:r w:rsidR="00A20C80" w:rsidRPr="00F02DCA">
        <w:rPr>
          <w:rFonts w:eastAsia="Calibri"/>
        </w:rPr>
        <w:t xml:space="preserve"> </w:t>
      </w:r>
    </w:p>
    <w:sectPr w:rsidR="00A20C80" w:rsidRPr="00F02D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1B37A" w14:textId="77777777" w:rsidR="00C456C0" w:rsidRDefault="00C456C0" w:rsidP="00BE6AB7">
      <w:r>
        <w:separator/>
      </w:r>
    </w:p>
  </w:endnote>
  <w:endnote w:type="continuationSeparator" w:id="0">
    <w:p w14:paraId="0BCA951B" w14:textId="77777777" w:rsidR="00C456C0" w:rsidRDefault="00C456C0" w:rsidP="00BE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F1CDC" w14:textId="77777777" w:rsidR="00EC39F9" w:rsidRDefault="00EC39F9" w:rsidP="00BE6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EC6E9" w14:textId="77777777" w:rsidR="00EC39F9" w:rsidRDefault="00EC39F9" w:rsidP="00BE6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0A24F" w14:textId="77777777" w:rsidR="00EC39F9" w:rsidRDefault="00EC39F9" w:rsidP="00BE6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F46DB" w14:textId="77777777" w:rsidR="00C456C0" w:rsidRDefault="00C456C0" w:rsidP="00BE6AB7">
      <w:r>
        <w:separator/>
      </w:r>
    </w:p>
  </w:footnote>
  <w:footnote w:type="continuationSeparator" w:id="0">
    <w:p w14:paraId="0E997E79" w14:textId="77777777" w:rsidR="00C456C0" w:rsidRDefault="00C456C0" w:rsidP="00BE6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928E6" w14:textId="4D819262" w:rsidR="00EC39F9" w:rsidRDefault="00EC39F9" w:rsidP="00BE6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4216C" w14:textId="7ED99B01" w:rsidR="00EC39F9" w:rsidRDefault="00EC39F9" w:rsidP="00BE6A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E89FF" w14:textId="28974011" w:rsidR="00EC39F9" w:rsidRDefault="00EC39F9" w:rsidP="00BE6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3590F"/>
    <w:multiLevelType w:val="hybridMultilevel"/>
    <w:tmpl w:val="CE9A8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70CF1"/>
    <w:multiLevelType w:val="multilevel"/>
    <w:tmpl w:val="7222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5F518F"/>
    <w:multiLevelType w:val="hybridMultilevel"/>
    <w:tmpl w:val="57DE5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ex7EEQU9WoJRbOsie8+KA2HySWU76XGd4ZPF5ozMoY03Gx1seqhPI0CnlUJzZZ0CT6NhOaJGqwA+i6jWZtuUw==" w:salt="gmQ/Cjgfw8KRfMn2CTgUL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E3"/>
    <w:rsid w:val="00010803"/>
    <w:rsid w:val="000C5062"/>
    <w:rsid w:val="000D52D1"/>
    <w:rsid w:val="000F0E42"/>
    <w:rsid w:val="00122990"/>
    <w:rsid w:val="0015231B"/>
    <w:rsid w:val="001C3A8C"/>
    <w:rsid w:val="00210F89"/>
    <w:rsid w:val="00281370"/>
    <w:rsid w:val="002C0C9E"/>
    <w:rsid w:val="0030225A"/>
    <w:rsid w:val="003228DC"/>
    <w:rsid w:val="003636B9"/>
    <w:rsid w:val="003B145F"/>
    <w:rsid w:val="003C4749"/>
    <w:rsid w:val="004051E1"/>
    <w:rsid w:val="004A4F38"/>
    <w:rsid w:val="004C79A2"/>
    <w:rsid w:val="005223BE"/>
    <w:rsid w:val="005246DF"/>
    <w:rsid w:val="00533107"/>
    <w:rsid w:val="00586A57"/>
    <w:rsid w:val="005F74B0"/>
    <w:rsid w:val="006332EF"/>
    <w:rsid w:val="006A3E05"/>
    <w:rsid w:val="006B1906"/>
    <w:rsid w:val="006B3DAC"/>
    <w:rsid w:val="006E235E"/>
    <w:rsid w:val="006F2BEF"/>
    <w:rsid w:val="007064C3"/>
    <w:rsid w:val="0074263D"/>
    <w:rsid w:val="00825637"/>
    <w:rsid w:val="00911993"/>
    <w:rsid w:val="00955744"/>
    <w:rsid w:val="009622E6"/>
    <w:rsid w:val="009849F9"/>
    <w:rsid w:val="009F6C8F"/>
    <w:rsid w:val="00A20C80"/>
    <w:rsid w:val="00A37EEF"/>
    <w:rsid w:val="00A51830"/>
    <w:rsid w:val="00A60C88"/>
    <w:rsid w:val="00A963D2"/>
    <w:rsid w:val="00AA4DC2"/>
    <w:rsid w:val="00AD4900"/>
    <w:rsid w:val="00AD4956"/>
    <w:rsid w:val="00AE2088"/>
    <w:rsid w:val="00AF456D"/>
    <w:rsid w:val="00B50191"/>
    <w:rsid w:val="00B510C0"/>
    <w:rsid w:val="00B54027"/>
    <w:rsid w:val="00B84F5A"/>
    <w:rsid w:val="00B92CB3"/>
    <w:rsid w:val="00B937E3"/>
    <w:rsid w:val="00BA4369"/>
    <w:rsid w:val="00BE6AB7"/>
    <w:rsid w:val="00C17909"/>
    <w:rsid w:val="00C456C0"/>
    <w:rsid w:val="00C944BD"/>
    <w:rsid w:val="00CF4E09"/>
    <w:rsid w:val="00D55E63"/>
    <w:rsid w:val="00D7524E"/>
    <w:rsid w:val="00DE6F8E"/>
    <w:rsid w:val="00DE7F3B"/>
    <w:rsid w:val="00E73CF9"/>
    <w:rsid w:val="00EA19D8"/>
    <w:rsid w:val="00EC39F9"/>
    <w:rsid w:val="00F02DCA"/>
    <w:rsid w:val="00F32EB9"/>
    <w:rsid w:val="00F4584C"/>
    <w:rsid w:val="00FF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97FD4"/>
  <w15:chartTrackingRefBased/>
  <w15:docId w15:val="{0E412206-467A-489B-84C8-5CE05120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AB7"/>
    <w:rPr>
      <w:rFonts w:ascii="Arial" w:hAnsi="Arial" w:cs="Arial"/>
      <w:sz w:val="24"/>
      <w:szCs w:val="24"/>
    </w:rPr>
  </w:style>
  <w:style w:type="paragraph" w:styleId="Heading1">
    <w:name w:val="heading 1"/>
    <w:basedOn w:val="p1"/>
    <w:next w:val="Normal"/>
    <w:link w:val="Heading1Char"/>
    <w:uiPriority w:val="9"/>
    <w:qFormat/>
    <w:rsid w:val="00F02DCA"/>
    <w:pPr>
      <w:spacing w:before="0" w:beforeAutospacing="0" w:after="45" w:afterAutospacing="0"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DCA"/>
    <w:pPr>
      <w:spacing w:before="240" w:after="0" w:line="240" w:lineRule="auto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937E3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customStyle="1" w:styleId="p2">
    <w:name w:val="p2"/>
    <w:basedOn w:val="Normal"/>
    <w:rsid w:val="00B937E3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customStyle="1" w:styleId="p3">
    <w:name w:val="p3"/>
    <w:basedOn w:val="Normal"/>
    <w:rsid w:val="00B937E3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customStyle="1" w:styleId="li3">
    <w:name w:val="li3"/>
    <w:basedOn w:val="Normal"/>
    <w:rsid w:val="00B937E3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customStyle="1" w:styleId="s1">
    <w:name w:val="s1"/>
    <w:basedOn w:val="DefaultParagraphFont"/>
    <w:rsid w:val="00B937E3"/>
  </w:style>
  <w:style w:type="character" w:customStyle="1" w:styleId="s2">
    <w:name w:val="s2"/>
    <w:basedOn w:val="DefaultParagraphFont"/>
    <w:rsid w:val="00B937E3"/>
  </w:style>
  <w:style w:type="character" w:customStyle="1" w:styleId="apple-converted-space">
    <w:name w:val="apple-converted-space"/>
    <w:basedOn w:val="DefaultParagraphFont"/>
    <w:rsid w:val="00B937E3"/>
  </w:style>
  <w:style w:type="character" w:customStyle="1" w:styleId="s3">
    <w:name w:val="s3"/>
    <w:basedOn w:val="DefaultParagraphFont"/>
    <w:rsid w:val="00B937E3"/>
  </w:style>
  <w:style w:type="character" w:customStyle="1" w:styleId="s4">
    <w:name w:val="s4"/>
    <w:basedOn w:val="DefaultParagraphFont"/>
    <w:rsid w:val="00B937E3"/>
  </w:style>
  <w:style w:type="paragraph" w:styleId="ListParagraph">
    <w:name w:val="List Paragraph"/>
    <w:basedOn w:val="Normal"/>
    <w:uiPriority w:val="34"/>
    <w:qFormat/>
    <w:rsid w:val="00E73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0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0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3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F9"/>
  </w:style>
  <w:style w:type="paragraph" w:styleId="Footer">
    <w:name w:val="footer"/>
    <w:basedOn w:val="Normal"/>
    <w:link w:val="FooterChar"/>
    <w:uiPriority w:val="99"/>
    <w:unhideWhenUsed/>
    <w:rsid w:val="00EC3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9F9"/>
  </w:style>
  <w:style w:type="paragraph" w:styleId="BalloonText">
    <w:name w:val="Balloon Text"/>
    <w:basedOn w:val="Normal"/>
    <w:link w:val="BalloonTextChar"/>
    <w:uiPriority w:val="99"/>
    <w:semiHidden/>
    <w:unhideWhenUsed/>
    <w:rsid w:val="00B50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9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02DCA"/>
    <w:rPr>
      <w:rFonts w:ascii="Arial" w:hAnsi="Arial" w:cs="Arial"/>
      <w:b/>
      <w:bCs/>
      <w:sz w:val="40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02DCA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at.vic.gov.au/resources/guide-for-submissions-in-hearings-planning-and-environme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cat.vic.gov.au/resources/guide-for-submissions-in-hearings-planning-and-environmen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771</Words>
  <Characters>4398</Characters>
  <Application>Microsoft Office Word</Application>
  <DocSecurity>10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 Deidun (CSV)</dc:creator>
  <cp:keywords/>
  <dc:description/>
  <cp:lastModifiedBy>Alvin Bautista</cp:lastModifiedBy>
  <cp:revision>9</cp:revision>
  <cp:lastPrinted>2020-04-06T06:33:00Z</cp:lastPrinted>
  <dcterms:created xsi:type="dcterms:W3CDTF">2020-04-30T01:12:00Z</dcterms:created>
  <dcterms:modified xsi:type="dcterms:W3CDTF">2020-04-30T02:57:00Z</dcterms:modified>
</cp:coreProperties>
</file>