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EF9BD" w14:textId="77777777" w:rsidR="001319A6" w:rsidRDefault="001319A6" w:rsidP="00E74E2F">
      <w:bookmarkStart w:id="0" w:name="_Hlk71106777"/>
    </w:p>
    <w:p w14:paraId="601765E6" w14:textId="77777777" w:rsidR="00265CA7" w:rsidRDefault="00265CA7" w:rsidP="00E74E2F"/>
    <w:p w14:paraId="25AEFA0A" w14:textId="77777777" w:rsidR="001319A6" w:rsidRDefault="001319A6" w:rsidP="00E74E2F"/>
    <w:p w14:paraId="7B91C7F2" w14:textId="77777777" w:rsidR="00E74E2F" w:rsidRDefault="00E74E2F" w:rsidP="00E74E2F">
      <w:r>
        <w:rPr>
          <w:noProof/>
        </w:rPr>
        <mc:AlternateContent>
          <mc:Choice Requires="wps">
            <w:drawing>
              <wp:anchor distT="0" distB="0" distL="114300" distR="114300" simplePos="0" relativeHeight="251659264" behindDoc="0" locked="1" layoutInCell="1" allowOverlap="1" wp14:anchorId="0D5C712A" wp14:editId="5E8B2FB7">
                <wp:simplePos x="0" y="0"/>
                <wp:positionH relativeFrom="column">
                  <wp:posOffset>-235585</wp:posOffset>
                </wp:positionH>
                <wp:positionV relativeFrom="page">
                  <wp:posOffset>1484630</wp:posOffset>
                </wp:positionV>
                <wp:extent cx="6332855" cy="2525395"/>
                <wp:effectExtent l="0" t="0" r="0" b="0"/>
                <wp:wrapNone/>
                <wp:docPr id="7" name="Text Box 7"/>
                <wp:cNvGraphicFramePr/>
                <a:graphic xmlns:a="http://schemas.openxmlformats.org/drawingml/2006/main">
                  <a:graphicData uri="http://schemas.microsoft.com/office/word/2010/wordprocessingShape">
                    <wps:wsp>
                      <wps:cNvSpPr txBox="1"/>
                      <wps:spPr>
                        <a:xfrm>
                          <a:off x="0" y="0"/>
                          <a:ext cx="6332855" cy="2525395"/>
                        </a:xfrm>
                        <a:prstGeom prst="rect">
                          <a:avLst/>
                        </a:prstGeom>
                        <a:noFill/>
                        <a:ln w="6350">
                          <a:noFill/>
                        </a:ln>
                      </wps:spPr>
                      <wps:txbx>
                        <w:txbxContent>
                          <w:p w14:paraId="67B9A3F7" w14:textId="4D6FA7D8" w:rsidR="00E74E2F" w:rsidRPr="007F53D7" w:rsidRDefault="00E74E2F" w:rsidP="00E74E2F">
                            <w:pPr>
                              <w:rPr>
                                <w:rFonts w:asciiTheme="majorHAnsi" w:eastAsiaTheme="majorEastAsia" w:hAnsiTheme="majorHAnsi" w:cstheme="majorHAnsi"/>
                                <w:b/>
                                <w:bCs/>
                                <w:i/>
                                <w:iCs/>
                                <w:color w:val="2F5496" w:themeColor="accent1" w:themeShade="BF"/>
                                <w:sz w:val="48"/>
                                <w:szCs w:val="48"/>
                              </w:rPr>
                            </w:pPr>
                            <w:r w:rsidRPr="007F53D7">
                              <w:rPr>
                                <w:rFonts w:asciiTheme="majorHAnsi" w:eastAsiaTheme="majorEastAsia" w:hAnsiTheme="majorHAnsi" w:cstheme="majorHAnsi"/>
                                <w:b/>
                                <w:bCs/>
                                <w:color w:val="2F5496" w:themeColor="accent1" w:themeShade="BF"/>
                                <w:sz w:val="48"/>
                                <w:szCs w:val="48"/>
                              </w:rPr>
                              <w:t xml:space="preserve">Remuneration scale for administrators under the </w:t>
                            </w:r>
                            <w:r w:rsidRPr="007F53D7">
                              <w:rPr>
                                <w:rFonts w:asciiTheme="majorHAnsi" w:eastAsiaTheme="majorEastAsia" w:hAnsiTheme="majorHAnsi" w:cstheme="majorHAnsi"/>
                                <w:b/>
                                <w:bCs/>
                                <w:i/>
                                <w:iCs/>
                                <w:color w:val="2F5496" w:themeColor="accent1" w:themeShade="BF"/>
                                <w:sz w:val="48"/>
                                <w:szCs w:val="48"/>
                              </w:rPr>
                              <w:t>Guardianship and Administration Act 2019</w:t>
                            </w:r>
                          </w:p>
                          <w:p w14:paraId="757F407C" w14:textId="3623A54E" w:rsidR="007826FF" w:rsidRPr="00510249" w:rsidRDefault="00966658" w:rsidP="00E74E2F">
                            <w:pPr>
                              <w:rPr>
                                <w:rFonts w:ascii="Arial" w:eastAsiaTheme="majorEastAsia" w:hAnsi="Arial" w:cs="Arial"/>
                                <w:i/>
                                <w:iCs/>
                                <w:color w:val="2F5496" w:themeColor="accent1" w:themeShade="BF"/>
                                <w:sz w:val="44"/>
                                <w:szCs w:val="44"/>
                              </w:rPr>
                            </w:pPr>
                            <w:r>
                              <w:rPr>
                                <w:rFonts w:eastAsiaTheme="majorEastAsia"/>
                                <w:color w:val="2F5496" w:themeColor="accent1" w:themeShade="BF"/>
                                <w:sz w:val="36"/>
                                <w:szCs w:val="36"/>
                              </w:rPr>
                              <w:t>Discussion</w:t>
                            </w:r>
                            <w:r w:rsidR="007F53D7" w:rsidRPr="007F53D7">
                              <w:rPr>
                                <w:rFonts w:eastAsiaTheme="majorEastAsia"/>
                                <w:color w:val="2F5496" w:themeColor="accent1" w:themeShade="BF"/>
                                <w:sz w:val="36"/>
                                <w:szCs w:val="36"/>
                              </w:rPr>
                              <w:t xml:space="preserve">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C712A" id="_x0000_t202" coordsize="21600,21600" o:spt="202" path="m,l,21600r21600,l21600,xe">
                <v:stroke joinstyle="miter"/>
                <v:path gradientshapeok="t" o:connecttype="rect"/>
              </v:shapetype>
              <v:shape id="Text Box 7" o:spid="_x0000_s1026" type="#_x0000_t202" style="position:absolute;margin-left:-18.55pt;margin-top:116.9pt;width:498.65pt;height:19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" filled="f" stroked="f" strokeweight=".5pt">
                <v:textbox>
                  <w:txbxContent>
                    <w:p w14:paraId="67B9A3F7" w14:textId="4D6FA7D8" w:rsidR="00E74E2F" w:rsidRPr="007F53D7" w:rsidRDefault="00E74E2F" w:rsidP="00E74E2F">
                      <w:pPr>
                        <w:rPr>
                          <w:rFonts w:asciiTheme="majorHAnsi" w:eastAsiaTheme="majorEastAsia" w:hAnsiTheme="majorHAnsi" w:cstheme="majorHAnsi"/>
                          <w:b/>
                          <w:bCs/>
                          <w:i/>
                          <w:iCs/>
                          <w:color w:val="2F5496" w:themeColor="accent1" w:themeShade="BF"/>
                          <w:sz w:val="48"/>
                          <w:szCs w:val="48"/>
                        </w:rPr>
                      </w:pPr>
                      <w:r w:rsidRPr="007F53D7">
                        <w:rPr>
                          <w:rFonts w:asciiTheme="majorHAnsi" w:eastAsiaTheme="majorEastAsia" w:hAnsiTheme="majorHAnsi" w:cstheme="majorHAnsi"/>
                          <w:b/>
                          <w:bCs/>
                          <w:color w:val="2F5496" w:themeColor="accent1" w:themeShade="BF"/>
                          <w:sz w:val="48"/>
                          <w:szCs w:val="48"/>
                        </w:rPr>
                        <w:t xml:space="preserve">Remuneration scale for administrators under the </w:t>
                      </w:r>
                      <w:r w:rsidRPr="007F53D7">
                        <w:rPr>
                          <w:rFonts w:asciiTheme="majorHAnsi" w:eastAsiaTheme="majorEastAsia" w:hAnsiTheme="majorHAnsi" w:cstheme="majorHAnsi"/>
                          <w:b/>
                          <w:bCs/>
                          <w:i/>
                          <w:iCs/>
                          <w:color w:val="2F5496" w:themeColor="accent1" w:themeShade="BF"/>
                          <w:sz w:val="48"/>
                          <w:szCs w:val="48"/>
                        </w:rPr>
                        <w:t>Guardianship and Administration Act 2019</w:t>
                      </w:r>
                    </w:p>
                    <w:p w14:paraId="757F407C" w14:textId="3623A54E" w:rsidR="007826FF" w:rsidRPr="00510249" w:rsidRDefault="00966658" w:rsidP="00E74E2F">
                      <w:pPr>
                        <w:rPr>
                          <w:rFonts w:ascii="Arial" w:eastAsiaTheme="majorEastAsia" w:hAnsi="Arial" w:cs="Arial"/>
                          <w:i/>
                          <w:iCs/>
                          <w:color w:val="2F5496" w:themeColor="accent1" w:themeShade="BF"/>
                          <w:sz w:val="44"/>
                          <w:szCs w:val="44"/>
                        </w:rPr>
                      </w:pPr>
                      <w:r>
                        <w:rPr>
                          <w:rFonts w:eastAsiaTheme="majorEastAsia"/>
                          <w:color w:val="2F5496" w:themeColor="accent1" w:themeShade="BF"/>
                          <w:sz w:val="36"/>
                          <w:szCs w:val="36"/>
                        </w:rPr>
                        <w:t>Discussion</w:t>
                      </w:r>
                      <w:r w:rsidR="007F53D7" w:rsidRPr="007F53D7">
                        <w:rPr>
                          <w:rFonts w:eastAsiaTheme="majorEastAsia"/>
                          <w:color w:val="2F5496" w:themeColor="accent1" w:themeShade="BF"/>
                          <w:sz w:val="36"/>
                          <w:szCs w:val="36"/>
                        </w:rPr>
                        <w:t xml:space="preserve"> Paper</w:t>
                      </w:r>
                    </w:p>
                  </w:txbxContent>
                </v:textbox>
                <w10:wrap anchory="page"/>
                <w10:anchorlock/>
              </v:shape>
            </w:pict>
          </mc:Fallback>
        </mc:AlternateContent>
      </w:r>
    </w:p>
    <w:p w14:paraId="22B08BAC" w14:textId="77777777" w:rsidR="00E74E2F" w:rsidRDefault="00E74E2F" w:rsidP="00E74E2F"/>
    <w:p w14:paraId="69EB0998" w14:textId="77777777" w:rsidR="00E74E2F" w:rsidRDefault="00E74E2F" w:rsidP="00E74E2F"/>
    <w:p w14:paraId="78DBEA53" w14:textId="77777777" w:rsidR="00E74E2F" w:rsidRDefault="00E74E2F" w:rsidP="00E74E2F"/>
    <w:p w14:paraId="27B977C0" w14:textId="2DA6A904" w:rsidR="00E74E2F" w:rsidRDefault="00E74E2F" w:rsidP="00E74E2F"/>
    <w:p w14:paraId="1133D57F" w14:textId="77777777" w:rsidR="00E74E2F" w:rsidRDefault="00E74E2F" w:rsidP="00E74E2F"/>
    <w:p w14:paraId="0C922D53" w14:textId="77777777" w:rsidR="00E74E2F" w:rsidRDefault="00E74E2F" w:rsidP="00E74E2F"/>
    <w:p w14:paraId="5EE187DE" w14:textId="77777777" w:rsidR="00E74E2F" w:rsidRPr="00A637BD" w:rsidRDefault="00E74E2F" w:rsidP="00E74E2F">
      <w:r>
        <w:br w:type="page"/>
      </w:r>
    </w:p>
    <w:p w14:paraId="6C50D06F" w14:textId="103BF1E0" w:rsidR="000D48AC" w:rsidRDefault="000D48AC" w:rsidP="00917622">
      <w:pPr>
        <w:pStyle w:val="Heading1"/>
        <w:numPr>
          <w:ilvl w:val="0"/>
          <w:numId w:val="0"/>
        </w:numPr>
        <w:spacing w:before="240" w:after="60" w:line="240" w:lineRule="auto"/>
        <w:ind w:left="709" w:hanging="709"/>
      </w:pPr>
      <w:bookmarkStart w:id="1" w:name="_Toc115704171"/>
      <w:bookmarkStart w:id="2" w:name="_Toc117064485"/>
      <w:bookmarkStart w:id="3" w:name="_Toc120620392"/>
      <w:bookmarkStart w:id="4" w:name="_Toc124831339"/>
      <w:bookmarkStart w:id="5" w:name="_Toc124917415"/>
      <w:bookmarkEnd w:id="0"/>
      <w:r>
        <w:lastRenderedPageBreak/>
        <w:t>Abbreviations</w:t>
      </w:r>
      <w:bookmarkEnd w:id="1"/>
      <w:r w:rsidR="007903F2">
        <w:t xml:space="preserve"> &amp; Terms</w:t>
      </w:r>
      <w:bookmarkEnd w:id="2"/>
      <w:bookmarkEnd w:id="3"/>
      <w:bookmarkEnd w:id="4"/>
      <w:bookmarkEnd w:id="5"/>
    </w:p>
    <w:tbl>
      <w:tblPr>
        <w:tblStyle w:val="TableGrid"/>
        <w:tblW w:w="0" w:type="auto"/>
        <w:tblInd w:w="-5" w:type="dxa"/>
        <w:tblLook w:val="04A0" w:firstRow="1" w:lastRow="0" w:firstColumn="1" w:lastColumn="0" w:noHBand="0" w:noVBand="1"/>
      </w:tblPr>
      <w:tblGrid>
        <w:gridCol w:w="2694"/>
        <w:gridCol w:w="6321"/>
      </w:tblGrid>
      <w:tr w:rsidR="005B6471" w:rsidRPr="007F53D7" w14:paraId="091A0C10" w14:textId="77777777" w:rsidTr="003A673A">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FFFFFF" w:themeFill="background1"/>
          </w:tcPr>
          <w:p w14:paraId="7C5DF4B7" w14:textId="42EA0740" w:rsidR="005B6471" w:rsidRPr="007F53D7" w:rsidRDefault="005B6471" w:rsidP="00044F99">
            <w:pPr>
              <w:spacing w:beforeLines="40" w:before="96" w:after="60" w:line="240" w:lineRule="auto"/>
            </w:pPr>
            <w:r>
              <w:rPr>
                <w:lang w:eastAsia="ja-JP"/>
              </w:rPr>
              <w:t>ABA</w:t>
            </w:r>
          </w:p>
        </w:tc>
        <w:tc>
          <w:tcPr>
            <w:tcW w:w="6321" w:type="dxa"/>
            <w:shd w:val="clear" w:color="auto" w:fill="FFFFFF" w:themeFill="background1"/>
          </w:tcPr>
          <w:p w14:paraId="3B821986" w14:textId="28A5F019" w:rsidR="005B6471" w:rsidRPr="005B6471" w:rsidRDefault="005B6471" w:rsidP="00044F99">
            <w:pPr>
              <w:spacing w:beforeLines="40" w:before="96" w:after="60" w:line="240" w:lineRule="auto"/>
              <w:rPr>
                <w:iCs/>
              </w:rPr>
            </w:pPr>
            <w:r>
              <w:rPr>
                <w:lang w:eastAsia="ja-JP"/>
              </w:rPr>
              <w:t xml:space="preserve">Account by Administrator </w:t>
            </w:r>
            <w:r w:rsidRPr="007F53D7">
              <w:t>–</w:t>
            </w:r>
            <w:r>
              <w:t xml:space="preserve"> </w:t>
            </w:r>
            <w:r>
              <w:rPr>
                <w:lang w:eastAsia="ja-JP"/>
              </w:rPr>
              <w:t>a VCAT online system for document lodgement by administrators</w:t>
            </w:r>
          </w:p>
        </w:tc>
      </w:tr>
      <w:tr w:rsidR="00954187" w:rsidRPr="007F53D7" w14:paraId="406805AF" w14:textId="77777777" w:rsidTr="003A673A">
        <w:tc>
          <w:tcPr>
            <w:tcW w:w="2694" w:type="dxa"/>
            <w:shd w:val="clear" w:color="auto" w:fill="FFFFFF" w:themeFill="background1"/>
          </w:tcPr>
          <w:p w14:paraId="7E0AD20C" w14:textId="132C7756" w:rsidR="00954187" w:rsidRPr="007F53D7" w:rsidRDefault="00954187" w:rsidP="00044F99">
            <w:pPr>
              <w:spacing w:beforeLines="40" w:before="96" w:after="60" w:line="240" w:lineRule="auto"/>
            </w:pPr>
            <w:r w:rsidRPr="007F53D7">
              <w:t>GAA</w:t>
            </w:r>
          </w:p>
        </w:tc>
        <w:tc>
          <w:tcPr>
            <w:tcW w:w="6321" w:type="dxa"/>
            <w:shd w:val="clear" w:color="auto" w:fill="FFFFFF" w:themeFill="background1"/>
          </w:tcPr>
          <w:p w14:paraId="00290316" w14:textId="3C0126F8" w:rsidR="00954187" w:rsidRPr="00044F99" w:rsidRDefault="00954187" w:rsidP="00044F99">
            <w:pPr>
              <w:spacing w:beforeLines="40" w:before="96" w:after="60" w:line="240" w:lineRule="auto"/>
              <w:rPr>
                <w:i/>
              </w:rPr>
            </w:pPr>
            <w:r w:rsidRPr="00044F99">
              <w:rPr>
                <w:i/>
              </w:rPr>
              <w:t>Guardianship and Administration Act 2019</w:t>
            </w:r>
          </w:p>
        </w:tc>
      </w:tr>
      <w:tr w:rsidR="00954187" w:rsidRPr="007F53D7" w14:paraId="40BCCF5C" w14:textId="77777777" w:rsidTr="003A673A">
        <w:tc>
          <w:tcPr>
            <w:tcW w:w="2694" w:type="dxa"/>
          </w:tcPr>
          <w:p w14:paraId="620D4A12" w14:textId="16B1A1B9" w:rsidR="00954187" w:rsidRPr="007F53D7" w:rsidRDefault="00954187" w:rsidP="00044F99">
            <w:pPr>
              <w:spacing w:beforeLines="40" w:before="96" w:after="60" w:line="240" w:lineRule="auto"/>
            </w:pPr>
            <w:r w:rsidRPr="007F53D7">
              <w:t>PRO</w:t>
            </w:r>
          </w:p>
        </w:tc>
        <w:tc>
          <w:tcPr>
            <w:tcW w:w="6321" w:type="dxa"/>
          </w:tcPr>
          <w:p w14:paraId="32DF6F47" w14:textId="0EE1BD01" w:rsidR="00954187" w:rsidRPr="007F53D7" w:rsidRDefault="00AC7BC1" w:rsidP="00044F99">
            <w:pPr>
              <w:spacing w:beforeLines="40" w:before="96" w:after="60" w:line="240" w:lineRule="auto"/>
            </w:pPr>
            <w:r>
              <w:t>Practitioner</w:t>
            </w:r>
            <w:r w:rsidRPr="007F53D7">
              <w:t xml:space="preserve"> </w:t>
            </w:r>
            <w:r w:rsidR="00954187" w:rsidRPr="007F53D7">
              <w:t>Remuneration Order</w:t>
            </w:r>
            <w:r w:rsidR="00DC2551" w:rsidRPr="007F53D7">
              <w:t xml:space="preserve"> – made under the </w:t>
            </w:r>
            <w:r w:rsidR="00DC2551" w:rsidRPr="007903F2">
              <w:rPr>
                <w:i/>
                <w:iCs/>
              </w:rPr>
              <w:t>Legal Profession Uniform Law Application Act 2014</w:t>
            </w:r>
          </w:p>
        </w:tc>
      </w:tr>
      <w:tr w:rsidR="007903F2" w:rsidRPr="007F53D7" w14:paraId="47DC58A9" w14:textId="77777777" w:rsidTr="003A673A">
        <w:tc>
          <w:tcPr>
            <w:tcW w:w="2694" w:type="dxa"/>
          </w:tcPr>
          <w:p w14:paraId="4C677F7C" w14:textId="051C79DA" w:rsidR="007903F2" w:rsidRPr="007F53D7" w:rsidRDefault="00066A63" w:rsidP="00044F99">
            <w:pPr>
              <w:spacing w:beforeLines="40" w:before="96" w:after="60" w:line="240" w:lineRule="auto"/>
            </w:pPr>
            <w:r>
              <w:rPr>
                <w:lang w:eastAsia="ja-JP"/>
              </w:rPr>
              <w:t>P</w:t>
            </w:r>
            <w:r w:rsidR="007903F2">
              <w:rPr>
                <w:lang w:eastAsia="ja-JP"/>
              </w:rPr>
              <w:t>rofessional administrator</w:t>
            </w:r>
          </w:p>
        </w:tc>
        <w:tc>
          <w:tcPr>
            <w:tcW w:w="6321" w:type="dxa"/>
          </w:tcPr>
          <w:p w14:paraId="27DE3A65" w14:textId="77777777" w:rsidR="009361F4" w:rsidRDefault="00805777" w:rsidP="00044F99">
            <w:pPr>
              <w:spacing w:beforeLines="40" w:before="96" w:after="60" w:line="240" w:lineRule="auto"/>
              <w:rPr>
                <w:lang w:eastAsia="ja-JP"/>
              </w:rPr>
            </w:pPr>
            <w:r>
              <w:t>An a</w:t>
            </w:r>
            <w:r w:rsidR="007903F2" w:rsidRPr="009D16A5">
              <w:t xml:space="preserve">dministrator appointed under the </w:t>
            </w:r>
            <w:r w:rsidR="007903F2" w:rsidRPr="009D16A5">
              <w:rPr>
                <w:i/>
                <w:iCs/>
                <w:lang w:eastAsia="ja-JP"/>
              </w:rPr>
              <w:t>Guardianship and Administration Act 2019</w:t>
            </w:r>
            <w:r w:rsidR="005E670E">
              <w:rPr>
                <w:i/>
                <w:iCs/>
                <w:lang w:eastAsia="ja-JP"/>
              </w:rPr>
              <w:t xml:space="preserve"> </w:t>
            </w:r>
            <w:r w:rsidR="005E670E" w:rsidRPr="00703B99">
              <w:rPr>
                <w:lang w:eastAsia="ja-JP"/>
              </w:rPr>
              <w:t xml:space="preserve">who </w:t>
            </w:r>
            <w:r w:rsidR="00703B99">
              <w:rPr>
                <w:lang w:eastAsia="ja-JP"/>
              </w:rPr>
              <w:t>i</w:t>
            </w:r>
            <w:r w:rsidR="005E670E" w:rsidRPr="00703B99">
              <w:rPr>
                <w:lang w:eastAsia="ja-JP"/>
              </w:rPr>
              <w:t>s entitled to be remunerated</w:t>
            </w:r>
            <w:r w:rsidR="00947776" w:rsidRPr="00703B99">
              <w:rPr>
                <w:lang w:eastAsia="ja-JP"/>
              </w:rPr>
              <w:t xml:space="preserve"> for their work as </w:t>
            </w:r>
            <w:r w:rsidR="00B06541">
              <w:rPr>
                <w:lang w:eastAsia="ja-JP"/>
              </w:rPr>
              <w:t xml:space="preserve">an </w:t>
            </w:r>
            <w:r w:rsidR="00947776" w:rsidRPr="00947776">
              <w:rPr>
                <w:lang w:eastAsia="ja-JP"/>
              </w:rPr>
              <w:t>administrato</w:t>
            </w:r>
            <w:r w:rsidR="00947776">
              <w:rPr>
                <w:lang w:eastAsia="ja-JP"/>
              </w:rPr>
              <w:t>r</w:t>
            </w:r>
            <w:r w:rsidR="00703B99">
              <w:rPr>
                <w:lang w:eastAsia="ja-JP"/>
              </w:rPr>
              <w:t xml:space="preserve">. </w:t>
            </w:r>
          </w:p>
          <w:p w14:paraId="399297F5" w14:textId="4C06B23F" w:rsidR="007903F2" w:rsidRPr="007F53D7" w:rsidRDefault="00703B99" w:rsidP="00044F99">
            <w:pPr>
              <w:spacing w:beforeLines="40" w:before="96" w:after="60" w:line="240" w:lineRule="auto"/>
            </w:pPr>
            <w:r>
              <w:rPr>
                <w:lang w:eastAsia="ja-JP"/>
              </w:rPr>
              <w:t>For the purposes of this paper</w:t>
            </w:r>
            <w:r w:rsidR="00FA4D36">
              <w:rPr>
                <w:lang w:eastAsia="ja-JP"/>
              </w:rPr>
              <w:t>, references to professional administrators</w:t>
            </w:r>
            <w:r w:rsidR="009F3DDF">
              <w:rPr>
                <w:lang w:eastAsia="ja-JP"/>
              </w:rPr>
              <w:t xml:space="preserve"> </w:t>
            </w:r>
            <w:r w:rsidR="00FA169D">
              <w:rPr>
                <w:lang w:eastAsia="ja-JP"/>
              </w:rPr>
              <w:t xml:space="preserve">do </w:t>
            </w:r>
            <w:r w:rsidR="009F3DDF">
              <w:rPr>
                <w:lang w:eastAsia="ja-JP"/>
              </w:rPr>
              <w:t>not include</w:t>
            </w:r>
            <w:r>
              <w:rPr>
                <w:lang w:eastAsia="ja-JP"/>
              </w:rPr>
              <w:t xml:space="preserve"> State Trustees Limited and </w:t>
            </w:r>
            <w:r w:rsidR="009F3DDF">
              <w:rPr>
                <w:lang w:eastAsia="ja-JP"/>
              </w:rPr>
              <w:t xml:space="preserve">licensed </w:t>
            </w:r>
            <w:r>
              <w:rPr>
                <w:lang w:eastAsia="ja-JP"/>
              </w:rPr>
              <w:t>trustee companies</w:t>
            </w:r>
            <w:r w:rsidR="009F3DDF">
              <w:rPr>
                <w:lang w:eastAsia="ja-JP"/>
              </w:rPr>
              <w:t>, for whom the remuneration scale will not apply</w:t>
            </w:r>
            <w:r>
              <w:rPr>
                <w:lang w:eastAsia="ja-JP"/>
              </w:rPr>
              <w:t>.</w:t>
            </w:r>
          </w:p>
        </w:tc>
      </w:tr>
      <w:tr w:rsidR="00DC2551" w:rsidRPr="007F53D7" w14:paraId="56F9C8AB" w14:textId="77777777" w:rsidTr="003A673A">
        <w:tc>
          <w:tcPr>
            <w:tcW w:w="2694" w:type="dxa"/>
          </w:tcPr>
          <w:p w14:paraId="4D71611B" w14:textId="113489AA" w:rsidR="00DC2551" w:rsidRPr="007F53D7" w:rsidRDefault="00DC2551" w:rsidP="00044F99">
            <w:pPr>
              <w:spacing w:beforeLines="40" w:before="96" w:after="60" w:line="240" w:lineRule="auto"/>
            </w:pPr>
            <w:r w:rsidRPr="007F53D7">
              <w:t>SARC</w:t>
            </w:r>
          </w:p>
        </w:tc>
        <w:tc>
          <w:tcPr>
            <w:tcW w:w="6321" w:type="dxa"/>
          </w:tcPr>
          <w:p w14:paraId="11A7371B" w14:textId="5D522DCA" w:rsidR="00DC2551" w:rsidRPr="007F53D7" w:rsidRDefault="00DC2551" w:rsidP="00044F99">
            <w:pPr>
              <w:spacing w:beforeLines="40" w:before="96" w:after="60" w:line="240" w:lineRule="auto"/>
            </w:pPr>
            <w:r w:rsidRPr="007F53D7">
              <w:t>Scrutiny of Acts and Regulations Committee</w:t>
            </w:r>
          </w:p>
        </w:tc>
      </w:tr>
      <w:tr w:rsidR="00613547" w:rsidRPr="007F53D7" w14:paraId="7E4C2E41" w14:textId="77777777" w:rsidTr="003A673A">
        <w:tc>
          <w:tcPr>
            <w:tcW w:w="2694" w:type="dxa"/>
          </w:tcPr>
          <w:p w14:paraId="6A6FBED6" w14:textId="17E1846E" w:rsidR="00613547" w:rsidRDefault="00613547" w:rsidP="00044F99">
            <w:pPr>
              <w:spacing w:beforeLines="40" w:before="96" w:after="60" w:line="240" w:lineRule="auto"/>
            </w:pPr>
            <w:r>
              <w:rPr>
                <w:lang w:eastAsia="ja-JP"/>
              </w:rPr>
              <w:t>SAT</w:t>
            </w:r>
          </w:p>
        </w:tc>
        <w:tc>
          <w:tcPr>
            <w:tcW w:w="6321" w:type="dxa"/>
          </w:tcPr>
          <w:p w14:paraId="5BF9194B" w14:textId="2D60C243" w:rsidR="00613547" w:rsidRDefault="00613547" w:rsidP="00613547">
            <w:r w:rsidRPr="00E728CC">
              <w:rPr>
                <w:lang w:eastAsia="ja-JP"/>
              </w:rPr>
              <w:t>State Administrative Tribunal</w:t>
            </w:r>
            <w:r w:rsidR="004B2B66">
              <w:rPr>
                <w:lang w:eastAsia="ja-JP"/>
              </w:rPr>
              <w:t xml:space="preserve"> (Western Australia)</w:t>
            </w:r>
          </w:p>
        </w:tc>
      </w:tr>
      <w:tr w:rsidR="00B177C3" w:rsidRPr="007F53D7" w14:paraId="0D38853A" w14:textId="77777777" w:rsidTr="003A673A">
        <w:tc>
          <w:tcPr>
            <w:tcW w:w="2694" w:type="dxa"/>
          </w:tcPr>
          <w:p w14:paraId="60827E1A" w14:textId="29A4DB98" w:rsidR="00B177C3" w:rsidRDefault="00B177C3" w:rsidP="00044F99">
            <w:pPr>
              <w:spacing w:beforeLines="40" w:before="96" w:after="60" w:line="240" w:lineRule="auto"/>
            </w:pPr>
            <w:r>
              <w:t>STL</w:t>
            </w:r>
          </w:p>
        </w:tc>
        <w:tc>
          <w:tcPr>
            <w:tcW w:w="6321" w:type="dxa"/>
          </w:tcPr>
          <w:p w14:paraId="092C8D61" w14:textId="11535A2B" w:rsidR="00B177C3" w:rsidRDefault="00B177C3" w:rsidP="00044F99">
            <w:pPr>
              <w:spacing w:beforeLines="40" w:before="96" w:after="60" w:line="240" w:lineRule="auto"/>
            </w:pPr>
            <w:r>
              <w:t>State Trustee Limited</w:t>
            </w:r>
          </w:p>
        </w:tc>
      </w:tr>
      <w:tr w:rsidR="00613547" w:rsidRPr="007F53D7" w14:paraId="6F3C7A6B" w14:textId="77777777" w:rsidTr="003A673A">
        <w:tc>
          <w:tcPr>
            <w:tcW w:w="2694" w:type="dxa"/>
          </w:tcPr>
          <w:p w14:paraId="5245D60C" w14:textId="381CEC91" w:rsidR="00613547" w:rsidRDefault="00613547" w:rsidP="00044F99">
            <w:pPr>
              <w:spacing w:beforeLines="40" w:before="96" w:after="60" w:line="240" w:lineRule="auto"/>
            </w:pPr>
            <w:r>
              <w:rPr>
                <w:lang w:eastAsia="ja-JP"/>
              </w:rPr>
              <w:t>QCAT</w:t>
            </w:r>
          </w:p>
        </w:tc>
        <w:tc>
          <w:tcPr>
            <w:tcW w:w="6321" w:type="dxa"/>
          </w:tcPr>
          <w:p w14:paraId="5C316D57" w14:textId="39D94207" w:rsidR="00613547" w:rsidRDefault="00613547" w:rsidP="00044F99">
            <w:pPr>
              <w:spacing w:beforeLines="40" w:before="96" w:after="60" w:line="240" w:lineRule="auto"/>
            </w:pPr>
            <w:r>
              <w:rPr>
                <w:lang w:eastAsia="ja-JP"/>
              </w:rPr>
              <w:t>Queensland Civil and Administrative Tribunal</w:t>
            </w:r>
          </w:p>
        </w:tc>
      </w:tr>
      <w:tr w:rsidR="00954187" w:rsidRPr="007F53D7" w14:paraId="2E0D25C5" w14:textId="77777777" w:rsidTr="003A673A">
        <w:tc>
          <w:tcPr>
            <w:tcW w:w="2694" w:type="dxa"/>
          </w:tcPr>
          <w:p w14:paraId="71AEE83C" w14:textId="248A8B78" w:rsidR="00954187" w:rsidRPr="007F53D7" w:rsidRDefault="00B634C4" w:rsidP="00044F99">
            <w:pPr>
              <w:spacing w:beforeLines="40" w:before="96" w:after="60" w:line="240" w:lineRule="auto"/>
            </w:pPr>
            <w:r>
              <w:t>Represented person</w:t>
            </w:r>
          </w:p>
        </w:tc>
        <w:tc>
          <w:tcPr>
            <w:tcW w:w="6321" w:type="dxa"/>
          </w:tcPr>
          <w:p w14:paraId="5E102FF8" w14:textId="5CDAFD0F" w:rsidR="00954187" w:rsidRPr="007F53D7" w:rsidRDefault="00977F5E" w:rsidP="00044F99">
            <w:pPr>
              <w:spacing w:beforeLines="40" w:before="96" w:after="60" w:line="240" w:lineRule="auto"/>
            </w:pPr>
            <w:r>
              <w:t xml:space="preserve">A person in relation to whom an </w:t>
            </w:r>
            <w:r w:rsidR="00321782" w:rsidRPr="00703B99">
              <w:t>administration order</w:t>
            </w:r>
            <w:r>
              <w:t xml:space="preserve"> has effect</w:t>
            </w:r>
            <w:r w:rsidR="00943E18">
              <w:t xml:space="preserve">; </w:t>
            </w:r>
            <w:r w:rsidR="00967419">
              <w:t>administration</w:t>
            </w:r>
            <w:r w:rsidR="00943E18">
              <w:t xml:space="preserve"> </w:t>
            </w:r>
            <w:r w:rsidR="00967419">
              <w:t>ord</w:t>
            </w:r>
            <w:r w:rsidR="00943E18">
              <w:t xml:space="preserve">ers are made </w:t>
            </w:r>
            <w:r w:rsidR="00967419">
              <w:t xml:space="preserve">when </w:t>
            </w:r>
            <w:r w:rsidR="00943E18" w:rsidRPr="00C8539F">
              <w:rPr>
                <w:lang w:eastAsia="ja-JP"/>
              </w:rPr>
              <w:t xml:space="preserve">an adult </w:t>
            </w:r>
            <w:r w:rsidR="00967419">
              <w:rPr>
                <w:lang w:eastAsia="ja-JP"/>
              </w:rPr>
              <w:t xml:space="preserve">(the </w:t>
            </w:r>
            <w:r w:rsidR="002B2A80">
              <w:rPr>
                <w:lang w:eastAsia="ja-JP"/>
              </w:rPr>
              <w:t xml:space="preserve">person to be represented by the administrator) </w:t>
            </w:r>
            <w:r w:rsidR="00943E18" w:rsidRPr="00C8539F">
              <w:rPr>
                <w:lang w:eastAsia="ja-JP"/>
              </w:rPr>
              <w:t>is unable to make financial or legal decisions because of disability</w:t>
            </w:r>
            <w:r w:rsidR="00B06541" w:rsidRPr="00C8539F">
              <w:rPr>
                <w:lang w:eastAsia="ja-JP"/>
              </w:rPr>
              <w:t>.</w:t>
            </w:r>
          </w:p>
        </w:tc>
      </w:tr>
      <w:tr w:rsidR="00954187" w:rsidRPr="007F53D7" w14:paraId="1E5C6E6B" w14:textId="77777777" w:rsidTr="003A673A">
        <w:tc>
          <w:tcPr>
            <w:tcW w:w="2694" w:type="dxa"/>
          </w:tcPr>
          <w:p w14:paraId="496EC6E4" w14:textId="72C963FE" w:rsidR="00954187" w:rsidRPr="007F53D7" w:rsidRDefault="00954187" w:rsidP="00044F99">
            <w:pPr>
              <w:spacing w:beforeLines="40" w:before="96" w:after="60" w:line="240" w:lineRule="auto"/>
            </w:pPr>
            <w:r w:rsidRPr="007F53D7">
              <w:t>VCAT</w:t>
            </w:r>
          </w:p>
        </w:tc>
        <w:tc>
          <w:tcPr>
            <w:tcW w:w="6321" w:type="dxa"/>
          </w:tcPr>
          <w:p w14:paraId="39D0E7E1" w14:textId="2B756739" w:rsidR="00954187" w:rsidRPr="007F53D7" w:rsidRDefault="00954187" w:rsidP="00044F99">
            <w:pPr>
              <w:spacing w:beforeLines="40" w:before="96" w:after="60" w:line="240" w:lineRule="auto"/>
            </w:pPr>
            <w:r w:rsidRPr="007F53D7">
              <w:t>Victorian Civil and Administrative Tribunal</w:t>
            </w:r>
          </w:p>
        </w:tc>
      </w:tr>
      <w:tr w:rsidR="00613547" w:rsidRPr="007F53D7" w14:paraId="17FA712C" w14:textId="77777777" w:rsidTr="003A673A">
        <w:tc>
          <w:tcPr>
            <w:tcW w:w="2694" w:type="dxa"/>
          </w:tcPr>
          <w:p w14:paraId="47DF6902" w14:textId="6D3C926D" w:rsidR="00613547" w:rsidRPr="007F53D7" w:rsidRDefault="00613547" w:rsidP="00044F99">
            <w:pPr>
              <w:spacing w:beforeLines="40" w:before="96" w:after="60" w:line="240" w:lineRule="auto"/>
            </w:pPr>
            <w:r w:rsidRPr="00E109AB">
              <w:rPr>
                <w:lang w:eastAsia="ja-JP"/>
              </w:rPr>
              <w:t>VLSC</w:t>
            </w:r>
          </w:p>
        </w:tc>
        <w:tc>
          <w:tcPr>
            <w:tcW w:w="6321" w:type="dxa"/>
          </w:tcPr>
          <w:p w14:paraId="60CC4831" w14:textId="6A05E5B6" w:rsidR="00613547" w:rsidRPr="007F53D7" w:rsidRDefault="00613547" w:rsidP="00613547">
            <w:r w:rsidRPr="00E109AB">
              <w:rPr>
                <w:lang w:eastAsia="ja-JP"/>
              </w:rPr>
              <w:t>Victorian Legal Services Commissioner</w:t>
            </w:r>
          </w:p>
        </w:tc>
      </w:tr>
    </w:tbl>
    <w:p w14:paraId="26452271" w14:textId="6C4D3491" w:rsidR="000D48AC" w:rsidRDefault="000D48AC" w:rsidP="001319A6">
      <w:pPr>
        <w:pStyle w:val="Heading1"/>
        <w:numPr>
          <w:ilvl w:val="0"/>
          <w:numId w:val="0"/>
        </w:numPr>
        <w:ind w:left="709" w:hanging="709"/>
      </w:pPr>
      <w:r>
        <w:br w:type="page"/>
      </w:r>
    </w:p>
    <w:p w14:paraId="24215DF7" w14:textId="77777777" w:rsidR="00702624" w:rsidRDefault="000D48AC" w:rsidP="00A873F7">
      <w:pPr>
        <w:pStyle w:val="Heading1"/>
        <w:numPr>
          <w:ilvl w:val="0"/>
          <w:numId w:val="0"/>
        </w:numPr>
        <w:ind w:left="709" w:hanging="709"/>
        <w:rPr>
          <w:noProof/>
        </w:rPr>
      </w:pPr>
      <w:bookmarkStart w:id="6" w:name="_Toc117064486"/>
      <w:bookmarkStart w:id="7" w:name="_Toc115704172"/>
      <w:bookmarkStart w:id="8" w:name="_Toc120620393"/>
      <w:bookmarkStart w:id="9" w:name="_Toc124831340"/>
      <w:bookmarkStart w:id="10" w:name="_Toc124917416"/>
      <w:r>
        <w:lastRenderedPageBreak/>
        <w:t>Table of Contents</w:t>
      </w:r>
      <w:bookmarkEnd w:id="6"/>
      <w:bookmarkEnd w:id="7"/>
      <w:bookmarkEnd w:id="8"/>
      <w:bookmarkEnd w:id="9"/>
      <w:bookmarkEnd w:id="10"/>
      <w:r w:rsidR="00954187">
        <w:fldChar w:fldCharType="begin"/>
      </w:r>
      <w:r w:rsidR="00954187">
        <w:instrText xml:space="preserve"> TOC \o "1-3" \h \z \u </w:instrText>
      </w:r>
      <w:r w:rsidR="00954187">
        <w:fldChar w:fldCharType="separate"/>
      </w:r>
    </w:p>
    <w:p w14:paraId="2F1E9749" w14:textId="431E5A5C" w:rsidR="00702624" w:rsidRDefault="00000000">
      <w:pPr>
        <w:pStyle w:val="TOC1"/>
        <w:rPr>
          <w:rFonts w:eastAsiaTheme="minorEastAsia" w:cstheme="minorBidi"/>
          <w:b w:val="0"/>
          <w:bCs w:val="0"/>
          <w:caps w:val="0"/>
          <w:noProof/>
          <w:sz w:val="22"/>
          <w:szCs w:val="22"/>
          <w:lang w:eastAsia="en-AU"/>
        </w:rPr>
      </w:pPr>
      <w:hyperlink w:anchor="_Toc124917415" w:history="1">
        <w:r w:rsidR="00702624" w:rsidRPr="00E92928">
          <w:rPr>
            <w:rStyle w:val="Hyperlink"/>
            <w:noProof/>
          </w:rPr>
          <w:t>Abbreviations &amp; Terms</w:t>
        </w:r>
        <w:r w:rsidR="00702624">
          <w:rPr>
            <w:noProof/>
            <w:webHidden/>
          </w:rPr>
          <w:tab/>
        </w:r>
        <w:r w:rsidR="00702624">
          <w:rPr>
            <w:noProof/>
            <w:webHidden/>
          </w:rPr>
          <w:fldChar w:fldCharType="begin"/>
        </w:r>
        <w:r w:rsidR="00702624">
          <w:rPr>
            <w:noProof/>
            <w:webHidden/>
          </w:rPr>
          <w:instrText xml:space="preserve"> PAGEREF _Toc124917415 \h </w:instrText>
        </w:r>
        <w:r w:rsidR="00702624">
          <w:rPr>
            <w:noProof/>
            <w:webHidden/>
          </w:rPr>
        </w:r>
        <w:r w:rsidR="00702624">
          <w:rPr>
            <w:noProof/>
            <w:webHidden/>
          </w:rPr>
          <w:fldChar w:fldCharType="separate"/>
        </w:r>
        <w:r w:rsidR="006B2E7E">
          <w:rPr>
            <w:noProof/>
            <w:webHidden/>
          </w:rPr>
          <w:t>ii</w:t>
        </w:r>
        <w:r w:rsidR="00702624">
          <w:rPr>
            <w:noProof/>
            <w:webHidden/>
          </w:rPr>
          <w:fldChar w:fldCharType="end"/>
        </w:r>
      </w:hyperlink>
    </w:p>
    <w:p w14:paraId="439E9B18" w14:textId="5D95F948" w:rsidR="00702624" w:rsidRDefault="00000000">
      <w:pPr>
        <w:pStyle w:val="TOC1"/>
        <w:rPr>
          <w:rFonts w:eastAsiaTheme="minorEastAsia" w:cstheme="minorBidi"/>
          <w:b w:val="0"/>
          <w:bCs w:val="0"/>
          <w:caps w:val="0"/>
          <w:noProof/>
          <w:sz w:val="22"/>
          <w:szCs w:val="22"/>
          <w:lang w:eastAsia="en-AU"/>
        </w:rPr>
      </w:pPr>
      <w:hyperlink w:anchor="_Toc124917416" w:history="1">
        <w:r w:rsidR="00702624" w:rsidRPr="00E92928">
          <w:rPr>
            <w:rStyle w:val="Hyperlink"/>
            <w:noProof/>
          </w:rPr>
          <w:t>Table of Contents</w:t>
        </w:r>
        <w:r w:rsidR="00702624">
          <w:rPr>
            <w:noProof/>
            <w:webHidden/>
          </w:rPr>
          <w:tab/>
        </w:r>
        <w:r w:rsidR="00702624">
          <w:rPr>
            <w:noProof/>
            <w:webHidden/>
          </w:rPr>
          <w:fldChar w:fldCharType="begin"/>
        </w:r>
        <w:r w:rsidR="00702624">
          <w:rPr>
            <w:noProof/>
            <w:webHidden/>
          </w:rPr>
          <w:instrText xml:space="preserve"> PAGEREF _Toc124917416 \h </w:instrText>
        </w:r>
        <w:r w:rsidR="00702624">
          <w:rPr>
            <w:noProof/>
            <w:webHidden/>
          </w:rPr>
        </w:r>
        <w:r w:rsidR="00702624">
          <w:rPr>
            <w:noProof/>
            <w:webHidden/>
          </w:rPr>
          <w:fldChar w:fldCharType="separate"/>
        </w:r>
        <w:r w:rsidR="006B2E7E">
          <w:rPr>
            <w:noProof/>
            <w:webHidden/>
          </w:rPr>
          <w:t>iii</w:t>
        </w:r>
        <w:r w:rsidR="00702624">
          <w:rPr>
            <w:noProof/>
            <w:webHidden/>
          </w:rPr>
          <w:fldChar w:fldCharType="end"/>
        </w:r>
      </w:hyperlink>
    </w:p>
    <w:p w14:paraId="36B0BDD0" w14:textId="706B367A" w:rsidR="00702624" w:rsidRDefault="00000000">
      <w:pPr>
        <w:pStyle w:val="TOC1"/>
        <w:rPr>
          <w:rFonts w:eastAsiaTheme="minorEastAsia" w:cstheme="minorBidi"/>
          <w:b w:val="0"/>
          <w:bCs w:val="0"/>
          <w:caps w:val="0"/>
          <w:noProof/>
          <w:sz w:val="22"/>
          <w:szCs w:val="22"/>
          <w:lang w:eastAsia="en-AU"/>
        </w:rPr>
      </w:pPr>
      <w:hyperlink w:anchor="_Toc124917417" w:history="1">
        <w:r w:rsidR="00702624" w:rsidRPr="00E92928">
          <w:rPr>
            <w:rStyle w:val="Hyperlink"/>
            <w:noProof/>
          </w:rPr>
          <w:t>Overview</w:t>
        </w:r>
        <w:r w:rsidR="00702624">
          <w:rPr>
            <w:noProof/>
            <w:webHidden/>
          </w:rPr>
          <w:tab/>
        </w:r>
        <w:r w:rsidR="00702624">
          <w:rPr>
            <w:noProof/>
            <w:webHidden/>
          </w:rPr>
          <w:fldChar w:fldCharType="begin"/>
        </w:r>
        <w:r w:rsidR="00702624">
          <w:rPr>
            <w:noProof/>
            <w:webHidden/>
          </w:rPr>
          <w:instrText xml:space="preserve"> PAGEREF _Toc124917417 \h </w:instrText>
        </w:r>
        <w:r w:rsidR="00702624">
          <w:rPr>
            <w:noProof/>
            <w:webHidden/>
          </w:rPr>
        </w:r>
        <w:r w:rsidR="00702624">
          <w:rPr>
            <w:noProof/>
            <w:webHidden/>
          </w:rPr>
          <w:fldChar w:fldCharType="separate"/>
        </w:r>
        <w:r w:rsidR="006B2E7E">
          <w:rPr>
            <w:noProof/>
            <w:webHidden/>
          </w:rPr>
          <w:t>1</w:t>
        </w:r>
        <w:r w:rsidR="00702624">
          <w:rPr>
            <w:noProof/>
            <w:webHidden/>
          </w:rPr>
          <w:fldChar w:fldCharType="end"/>
        </w:r>
      </w:hyperlink>
    </w:p>
    <w:p w14:paraId="356EA317" w14:textId="4E36C011" w:rsidR="00702624" w:rsidRDefault="00000000">
      <w:pPr>
        <w:pStyle w:val="TOC1"/>
        <w:rPr>
          <w:rFonts w:eastAsiaTheme="minorEastAsia" w:cstheme="minorBidi"/>
          <w:b w:val="0"/>
          <w:bCs w:val="0"/>
          <w:caps w:val="0"/>
          <w:noProof/>
          <w:sz w:val="22"/>
          <w:szCs w:val="22"/>
          <w:lang w:eastAsia="en-AU"/>
        </w:rPr>
      </w:pPr>
      <w:hyperlink w:anchor="_Toc124917418" w:history="1">
        <w:r w:rsidR="00702624" w:rsidRPr="00E92928">
          <w:rPr>
            <w:rStyle w:val="Hyperlink"/>
            <w:noProof/>
            <w:lang w:eastAsia="ja-JP"/>
          </w:rPr>
          <w:t>Feedback sought</w:t>
        </w:r>
        <w:r w:rsidR="00702624">
          <w:rPr>
            <w:noProof/>
            <w:webHidden/>
          </w:rPr>
          <w:tab/>
        </w:r>
        <w:r w:rsidR="00702624">
          <w:rPr>
            <w:noProof/>
            <w:webHidden/>
          </w:rPr>
          <w:fldChar w:fldCharType="begin"/>
        </w:r>
        <w:r w:rsidR="00702624">
          <w:rPr>
            <w:noProof/>
            <w:webHidden/>
          </w:rPr>
          <w:instrText xml:space="preserve"> PAGEREF _Toc124917418 \h </w:instrText>
        </w:r>
        <w:r w:rsidR="00702624">
          <w:rPr>
            <w:noProof/>
            <w:webHidden/>
          </w:rPr>
        </w:r>
        <w:r w:rsidR="00702624">
          <w:rPr>
            <w:noProof/>
            <w:webHidden/>
          </w:rPr>
          <w:fldChar w:fldCharType="separate"/>
        </w:r>
        <w:r w:rsidR="006B2E7E">
          <w:rPr>
            <w:noProof/>
            <w:webHidden/>
          </w:rPr>
          <w:t>2</w:t>
        </w:r>
        <w:r w:rsidR="00702624">
          <w:rPr>
            <w:noProof/>
            <w:webHidden/>
          </w:rPr>
          <w:fldChar w:fldCharType="end"/>
        </w:r>
      </w:hyperlink>
    </w:p>
    <w:p w14:paraId="70736A9E" w14:textId="4C97A3DC" w:rsidR="00702624" w:rsidRDefault="00000000">
      <w:pPr>
        <w:pStyle w:val="TOC1"/>
        <w:rPr>
          <w:rFonts w:eastAsiaTheme="minorEastAsia" w:cstheme="minorBidi"/>
          <w:b w:val="0"/>
          <w:bCs w:val="0"/>
          <w:caps w:val="0"/>
          <w:noProof/>
          <w:sz w:val="22"/>
          <w:szCs w:val="22"/>
          <w:lang w:eastAsia="en-AU"/>
        </w:rPr>
      </w:pPr>
      <w:hyperlink w:anchor="_Toc124917419" w:history="1">
        <w:r w:rsidR="00702624" w:rsidRPr="00E92928">
          <w:rPr>
            <w:rStyle w:val="Hyperlink"/>
            <w:noProof/>
          </w:rPr>
          <w:t>1</w:t>
        </w:r>
        <w:r w:rsidR="00702624">
          <w:rPr>
            <w:rFonts w:eastAsiaTheme="minorEastAsia" w:cstheme="minorBidi"/>
            <w:b w:val="0"/>
            <w:bCs w:val="0"/>
            <w:caps w:val="0"/>
            <w:noProof/>
            <w:sz w:val="22"/>
            <w:szCs w:val="22"/>
            <w:lang w:eastAsia="en-AU"/>
          </w:rPr>
          <w:tab/>
        </w:r>
        <w:r w:rsidR="00702624" w:rsidRPr="00E92928">
          <w:rPr>
            <w:rStyle w:val="Hyperlink"/>
            <w:noProof/>
          </w:rPr>
          <w:t>Context and current arrangements</w:t>
        </w:r>
        <w:r w:rsidR="00702624">
          <w:rPr>
            <w:noProof/>
            <w:webHidden/>
          </w:rPr>
          <w:tab/>
        </w:r>
        <w:r w:rsidR="00702624">
          <w:rPr>
            <w:noProof/>
            <w:webHidden/>
          </w:rPr>
          <w:fldChar w:fldCharType="begin"/>
        </w:r>
        <w:r w:rsidR="00702624">
          <w:rPr>
            <w:noProof/>
            <w:webHidden/>
          </w:rPr>
          <w:instrText xml:space="preserve"> PAGEREF _Toc124917419 \h </w:instrText>
        </w:r>
        <w:r w:rsidR="00702624">
          <w:rPr>
            <w:noProof/>
            <w:webHidden/>
          </w:rPr>
        </w:r>
        <w:r w:rsidR="00702624">
          <w:rPr>
            <w:noProof/>
            <w:webHidden/>
          </w:rPr>
          <w:fldChar w:fldCharType="separate"/>
        </w:r>
        <w:r w:rsidR="006B2E7E">
          <w:rPr>
            <w:noProof/>
            <w:webHidden/>
          </w:rPr>
          <w:t>3</w:t>
        </w:r>
        <w:r w:rsidR="00702624">
          <w:rPr>
            <w:noProof/>
            <w:webHidden/>
          </w:rPr>
          <w:fldChar w:fldCharType="end"/>
        </w:r>
      </w:hyperlink>
    </w:p>
    <w:p w14:paraId="16CE1142" w14:textId="7AAE18D8" w:rsidR="00702624" w:rsidRDefault="00000000">
      <w:pPr>
        <w:pStyle w:val="TOC2"/>
        <w:tabs>
          <w:tab w:val="left" w:pos="880"/>
          <w:tab w:val="right" w:leader="dot" w:pos="9010"/>
        </w:tabs>
        <w:rPr>
          <w:rFonts w:eastAsiaTheme="minorEastAsia" w:cstheme="minorBidi"/>
          <w:smallCaps w:val="0"/>
          <w:noProof/>
          <w:sz w:val="22"/>
          <w:szCs w:val="22"/>
          <w:lang w:eastAsia="en-AU"/>
        </w:rPr>
      </w:pPr>
      <w:hyperlink w:anchor="_Toc124917420" w:history="1">
        <w:r w:rsidR="00702624" w:rsidRPr="00E92928">
          <w:rPr>
            <w:rStyle w:val="Hyperlink"/>
            <w:noProof/>
          </w:rPr>
          <w:t>1.1</w:t>
        </w:r>
        <w:r w:rsidR="00702624">
          <w:rPr>
            <w:rFonts w:eastAsiaTheme="minorEastAsia" w:cstheme="minorBidi"/>
            <w:smallCaps w:val="0"/>
            <w:noProof/>
            <w:sz w:val="22"/>
            <w:szCs w:val="22"/>
            <w:lang w:eastAsia="en-AU"/>
          </w:rPr>
          <w:tab/>
        </w:r>
        <w:r w:rsidR="00702624" w:rsidRPr="00E92928">
          <w:rPr>
            <w:rStyle w:val="Hyperlink"/>
            <w:noProof/>
          </w:rPr>
          <w:t>Role and function of administrators</w:t>
        </w:r>
        <w:r w:rsidR="00702624">
          <w:rPr>
            <w:noProof/>
            <w:webHidden/>
          </w:rPr>
          <w:tab/>
        </w:r>
        <w:r w:rsidR="00702624">
          <w:rPr>
            <w:noProof/>
            <w:webHidden/>
          </w:rPr>
          <w:fldChar w:fldCharType="begin"/>
        </w:r>
        <w:r w:rsidR="00702624">
          <w:rPr>
            <w:noProof/>
            <w:webHidden/>
          </w:rPr>
          <w:instrText xml:space="preserve"> PAGEREF _Toc124917420 \h </w:instrText>
        </w:r>
        <w:r w:rsidR="00702624">
          <w:rPr>
            <w:noProof/>
            <w:webHidden/>
          </w:rPr>
        </w:r>
        <w:r w:rsidR="00702624">
          <w:rPr>
            <w:noProof/>
            <w:webHidden/>
          </w:rPr>
          <w:fldChar w:fldCharType="separate"/>
        </w:r>
        <w:r w:rsidR="006B2E7E">
          <w:rPr>
            <w:noProof/>
            <w:webHidden/>
          </w:rPr>
          <w:t>3</w:t>
        </w:r>
        <w:r w:rsidR="00702624">
          <w:rPr>
            <w:noProof/>
            <w:webHidden/>
          </w:rPr>
          <w:fldChar w:fldCharType="end"/>
        </w:r>
      </w:hyperlink>
    </w:p>
    <w:p w14:paraId="7A78CD24" w14:textId="7A74456A" w:rsidR="00702624" w:rsidRDefault="00000000">
      <w:pPr>
        <w:pStyle w:val="TOC2"/>
        <w:tabs>
          <w:tab w:val="left" w:pos="880"/>
          <w:tab w:val="right" w:leader="dot" w:pos="9010"/>
        </w:tabs>
        <w:rPr>
          <w:rFonts w:eastAsiaTheme="minorEastAsia" w:cstheme="minorBidi"/>
          <w:smallCaps w:val="0"/>
          <w:noProof/>
          <w:sz w:val="22"/>
          <w:szCs w:val="22"/>
          <w:lang w:eastAsia="en-AU"/>
        </w:rPr>
      </w:pPr>
      <w:hyperlink w:anchor="_Toc124917421" w:history="1">
        <w:r w:rsidR="00702624" w:rsidRPr="00E92928">
          <w:rPr>
            <w:rStyle w:val="Hyperlink"/>
            <w:noProof/>
          </w:rPr>
          <w:t>1.2</w:t>
        </w:r>
        <w:r w:rsidR="00702624">
          <w:rPr>
            <w:rFonts w:eastAsiaTheme="minorEastAsia" w:cstheme="minorBidi"/>
            <w:smallCaps w:val="0"/>
            <w:noProof/>
            <w:sz w:val="22"/>
            <w:szCs w:val="22"/>
            <w:lang w:eastAsia="en-AU"/>
          </w:rPr>
          <w:tab/>
        </w:r>
        <w:r w:rsidR="00702624" w:rsidRPr="00E92928">
          <w:rPr>
            <w:rStyle w:val="Hyperlink"/>
            <w:noProof/>
          </w:rPr>
          <w:t>Appointment of administrators</w:t>
        </w:r>
        <w:r w:rsidR="00702624">
          <w:rPr>
            <w:noProof/>
            <w:webHidden/>
          </w:rPr>
          <w:tab/>
        </w:r>
        <w:r w:rsidR="00702624">
          <w:rPr>
            <w:noProof/>
            <w:webHidden/>
          </w:rPr>
          <w:fldChar w:fldCharType="begin"/>
        </w:r>
        <w:r w:rsidR="00702624">
          <w:rPr>
            <w:noProof/>
            <w:webHidden/>
          </w:rPr>
          <w:instrText xml:space="preserve"> PAGEREF _Toc124917421 \h </w:instrText>
        </w:r>
        <w:r w:rsidR="00702624">
          <w:rPr>
            <w:noProof/>
            <w:webHidden/>
          </w:rPr>
        </w:r>
        <w:r w:rsidR="00702624">
          <w:rPr>
            <w:noProof/>
            <w:webHidden/>
          </w:rPr>
          <w:fldChar w:fldCharType="separate"/>
        </w:r>
        <w:r w:rsidR="006B2E7E">
          <w:rPr>
            <w:noProof/>
            <w:webHidden/>
          </w:rPr>
          <w:t>3</w:t>
        </w:r>
        <w:r w:rsidR="00702624">
          <w:rPr>
            <w:noProof/>
            <w:webHidden/>
          </w:rPr>
          <w:fldChar w:fldCharType="end"/>
        </w:r>
      </w:hyperlink>
    </w:p>
    <w:p w14:paraId="0762D8D1" w14:textId="369B3136" w:rsidR="00702624" w:rsidRDefault="00000000">
      <w:pPr>
        <w:pStyle w:val="TOC2"/>
        <w:tabs>
          <w:tab w:val="left" w:pos="880"/>
          <w:tab w:val="right" w:leader="dot" w:pos="9010"/>
        </w:tabs>
        <w:rPr>
          <w:rFonts w:eastAsiaTheme="minorEastAsia" w:cstheme="minorBidi"/>
          <w:smallCaps w:val="0"/>
          <w:noProof/>
          <w:sz w:val="22"/>
          <w:szCs w:val="22"/>
          <w:lang w:eastAsia="en-AU"/>
        </w:rPr>
      </w:pPr>
      <w:hyperlink w:anchor="_Toc124917422" w:history="1">
        <w:r w:rsidR="00702624" w:rsidRPr="00E92928">
          <w:rPr>
            <w:rStyle w:val="Hyperlink"/>
            <w:noProof/>
          </w:rPr>
          <w:t>1.3</w:t>
        </w:r>
        <w:r w:rsidR="00702624">
          <w:rPr>
            <w:rFonts w:eastAsiaTheme="minorEastAsia" w:cstheme="minorBidi"/>
            <w:smallCaps w:val="0"/>
            <w:noProof/>
            <w:sz w:val="22"/>
            <w:szCs w:val="22"/>
            <w:lang w:eastAsia="en-AU"/>
          </w:rPr>
          <w:tab/>
        </w:r>
        <w:r w:rsidR="00702624" w:rsidRPr="00E92928">
          <w:rPr>
            <w:rStyle w:val="Hyperlink"/>
            <w:noProof/>
          </w:rPr>
          <w:t>Remuneration of administrators</w:t>
        </w:r>
        <w:r w:rsidR="00702624">
          <w:rPr>
            <w:noProof/>
            <w:webHidden/>
          </w:rPr>
          <w:tab/>
        </w:r>
        <w:r w:rsidR="00702624">
          <w:rPr>
            <w:noProof/>
            <w:webHidden/>
          </w:rPr>
          <w:fldChar w:fldCharType="begin"/>
        </w:r>
        <w:r w:rsidR="00702624">
          <w:rPr>
            <w:noProof/>
            <w:webHidden/>
          </w:rPr>
          <w:instrText xml:space="preserve"> PAGEREF _Toc124917422 \h </w:instrText>
        </w:r>
        <w:r w:rsidR="00702624">
          <w:rPr>
            <w:noProof/>
            <w:webHidden/>
          </w:rPr>
        </w:r>
        <w:r w:rsidR="00702624">
          <w:rPr>
            <w:noProof/>
            <w:webHidden/>
          </w:rPr>
          <w:fldChar w:fldCharType="separate"/>
        </w:r>
        <w:r w:rsidR="006B2E7E">
          <w:rPr>
            <w:noProof/>
            <w:webHidden/>
          </w:rPr>
          <w:t>4</w:t>
        </w:r>
        <w:r w:rsidR="00702624">
          <w:rPr>
            <w:noProof/>
            <w:webHidden/>
          </w:rPr>
          <w:fldChar w:fldCharType="end"/>
        </w:r>
      </w:hyperlink>
    </w:p>
    <w:p w14:paraId="76246B6A" w14:textId="0DDA1373" w:rsidR="00702624" w:rsidRDefault="00000000">
      <w:pPr>
        <w:pStyle w:val="TOC2"/>
        <w:tabs>
          <w:tab w:val="left" w:pos="880"/>
          <w:tab w:val="right" w:leader="dot" w:pos="9010"/>
        </w:tabs>
        <w:rPr>
          <w:rFonts w:eastAsiaTheme="minorEastAsia" w:cstheme="minorBidi"/>
          <w:smallCaps w:val="0"/>
          <w:noProof/>
          <w:sz w:val="22"/>
          <w:szCs w:val="22"/>
          <w:lang w:eastAsia="en-AU"/>
        </w:rPr>
      </w:pPr>
      <w:hyperlink w:anchor="_Toc124917423" w:history="1">
        <w:r w:rsidR="00702624" w:rsidRPr="00E92928">
          <w:rPr>
            <w:rStyle w:val="Hyperlink"/>
            <w:noProof/>
            <w:lang w:eastAsia="ja-JP"/>
          </w:rPr>
          <w:t>1.4</w:t>
        </w:r>
        <w:r w:rsidR="00702624">
          <w:rPr>
            <w:rFonts w:eastAsiaTheme="minorEastAsia" w:cstheme="minorBidi"/>
            <w:smallCaps w:val="0"/>
            <w:noProof/>
            <w:sz w:val="22"/>
            <w:szCs w:val="22"/>
            <w:lang w:eastAsia="en-AU"/>
          </w:rPr>
          <w:tab/>
        </w:r>
        <w:r w:rsidR="00702624" w:rsidRPr="00E92928">
          <w:rPr>
            <w:rStyle w:val="Hyperlink"/>
            <w:noProof/>
            <w:lang w:eastAsia="ja-JP"/>
          </w:rPr>
          <w:t>How remuneration for administrators is currently set</w:t>
        </w:r>
        <w:r w:rsidR="00702624">
          <w:rPr>
            <w:noProof/>
            <w:webHidden/>
          </w:rPr>
          <w:tab/>
        </w:r>
        <w:r w:rsidR="00702624">
          <w:rPr>
            <w:noProof/>
            <w:webHidden/>
          </w:rPr>
          <w:fldChar w:fldCharType="begin"/>
        </w:r>
        <w:r w:rsidR="00702624">
          <w:rPr>
            <w:noProof/>
            <w:webHidden/>
          </w:rPr>
          <w:instrText xml:space="preserve"> PAGEREF _Toc124917423 \h </w:instrText>
        </w:r>
        <w:r w:rsidR="00702624">
          <w:rPr>
            <w:noProof/>
            <w:webHidden/>
          </w:rPr>
        </w:r>
        <w:r w:rsidR="00702624">
          <w:rPr>
            <w:noProof/>
            <w:webHidden/>
          </w:rPr>
          <w:fldChar w:fldCharType="separate"/>
        </w:r>
        <w:r w:rsidR="006B2E7E">
          <w:rPr>
            <w:noProof/>
            <w:webHidden/>
          </w:rPr>
          <w:t>5</w:t>
        </w:r>
        <w:r w:rsidR="00702624">
          <w:rPr>
            <w:noProof/>
            <w:webHidden/>
          </w:rPr>
          <w:fldChar w:fldCharType="end"/>
        </w:r>
      </w:hyperlink>
    </w:p>
    <w:p w14:paraId="6E39C920" w14:textId="73AA8D8A" w:rsidR="00702624" w:rsidRDefault="00000000">
      <w:pPr>
        <w:pStyle w:val="TOC2"/>
        <w:tabs>
          <w:tab w:val="left" w:pos="880"/>
          <w:tab w:val="right" w:leader="dot" w:pos="9010"/>
        </w:tabs>
        <w:rPr>
          <w:rFonts w:eastAsiaTheme="minorEastAsia" w:cstheme="minorBidi"/>
          <w:smallCaps w:val="0"/>
          <w:noProof/>
          <w:sz w:val="22"/>
          <w:szCs w:val="22"/>
          <w:lang w:eastAsia="en-AU"/>
        </w:rPr>
      </w:pPr>
      <w:hyperlink w:anchor="_Toc124917424" w:history="1">
        <w:r w:rsidR="00702624" w:rsidRPr="00E92928">
          <w:rPr>
            <w:rStyle w:val="Hyperlink"/>
            <w:noProof/>
          </w:rPr>
          <w:t>1.5</w:t>
        </w:r>
        <w:r w:rsidR="00702624">
          <w:rPr>
            <w:rFonts w:eastAsiaTheme="minorEastAsia" w:cstheme="minorBidi"/>
            <w:smallCaps w:val="0"/>
            <w:noProof/>
            <w:sz w:val="22"/>
            <w:szCs w:val="22"/>
            <w:lang w:eastAsia="en-AU"/>
          </w:rPr>
          <w:tab/>
        </w:r>
        <w:r w:rsidR="00702624" w:rsidRPr="00E92928">
          <w:rPr>
            <w:rStyle w:val="Hyperlink"/>
            <w:noProof/>
          </w:rPr>
          <w:t>Arrangements in other states</w:t>
        </w:r>
        <w:r w:rsidR="00702624">
          <w:rPr>
            <w:noProof/>
            <w:webHidden/>
          </w:rPr>
          <w:tab/>
        </w:r>
        <w:r w:rsidR="00702624">
          <w:rPr>
            <w:noProof/>
            <w:webHidden/>
          </w:rPr>
          <w:fldChar w:fldCharType="begin"/>
        </w:r>
        <w:r w:rsidR="00702624">
          <w:rPr>
            <w:noProof/>
            <w:webHidden/>
          </w:rPr>
          <w:instrText xml:space="preserve"> PAGEREF _Toc124917424 \h </w:instrText>
        </w:r>
        <w:r w:rsidR="00702624">
          <w:rPr>
            <w:noProof/>
            <w:webHidden/>
          </w:rPr>
        </w:r>
        <w:r w:rsidR="00702624">
          <w:rPr>
            <w:noProof/>
            <w:webHidden/>
          </w:rPr>
          <w:fldChar w:fldCharType="separate"/>
        </w:r>
        <w:r w:rsidR="006B2E7E">
          <w:rPr>
            <w:noProof/>
            <w:webHidden/>
          </w:rPr>
          <w:t>6</w:t>
        </w:r>
        <w:r w:rsidR="00702624">
          <w:rPr>
            <w:noProof/>
            <w:webHidden/>
          </w:rPr>
          <w:fldChar w:fldCharType="end"/>
        </w:r>
      </w:hyperlink>
    </w:p>
    <w:p w14:paraId="39E5C823" w14:textId="6556A977" w:rsidR="00702624" w:rsidRDefault="00000000">
      <w:pPr>
        <w:pStyle w:val="TOC1"/>
        <w:rPr>
          <w:rFonts w:eastAsiaTheme="minorEastAsia" w:cstheme="minorBidi"/>
          <w:b w:val="0"/>
          <w:bCs w:val="0"/>
          <w:caps w:val="0"/>
          <w:noProof/>
          <w:sz w:val="22"/>
          <w:szCs w:val="22"/>
          <w:lang w:eastAsia="en-AU"/>
        </w:rPr>
      </w:pPr>
      <w:hyperlink w:anchor="_Toc124917425" w:history="1">
        <w:r w:rsidR="00702624" w:rsidRPr="00E92928">
          <w:rPr>
            <w:rStyle w:val="Hyperlink"/>
            <w:noProof/>
            <w:lang w:eastAsia="ja-JP"/>
          </w:rPr>
          <w:t>2</w:t>
        </w:r>
        <w:r w:rsidR="00702624">
          <w:rPr>
            <w:rFonts w:eastAsiaTheme="minorEastAsia" w:cstheme="minorBidi"/>
            <w:b w:val="0"/>
            <w:bCs w:val="0"/>
            <w:caps w:val="0"/>
            <w:noProof/>
            <w:sz w:val="22"/>
            <w:szCs w:val="22"/>
            <w:lang w:eastAsia="en-AU"/>
          </w:rPr>
          <w:tab/>
        </w:r>
        <w:r w:rsidR="00702624" w:rsidRPr="00E92928">
          <w:rPr>
            <w:rStyle w:val="Hyperlink"/>
            <w:noProof/>
            <w:lang w:eastAsia="ja-JP"/>
          </w:rPr>
          <w:t>The problems with the current arrangements</w:t>
        </w:r>
        <w:r w:rsidR="00702624">
          <w:rPr>
            <w:noProof/>
            <w:webHidden/>
          </w:rPr>
          <w:tab/>
        </w:r>
        <w:r w:rsidR="00702624">
          <w:rPr>
            <w:noProof/>
            <w:webHidden/>
          </w:rPr>
          <w:fldChar w:fldCharType="begin"/>
        </w:r>
        <w:r w:rsidR="00702624">
          <w:rPr>
            <w:noProof/>
            <w:webHidden/>
          </w:rPr>
          <w:instrText xml:space="preserve"> PAGEREF _Toc124917425 \h </w:instrText>
        </w:r>
        <w:r w:rsidR="00702624">
          <w:rPr>
            <w:noProof/>
            <w:webHidden/>
          </w:rPr>
        </w:r>
        <w:r w:rsidR="00702624">
          <w:rPr>
            <w:noProof/>
            <w:webHidden/>
          </w:rPr>
          <w:fldChar w:fldCharType="separate"/>
        </w:r>
        <w:r w:rsidR="006B2E7E">
          <w:rPr>
            <w:noProof/>
            <w:webHidden/>
          </w:rPr>
          <w:t>8</w:t>
        </w:r>
        <w:r w:rsidR="00702624">
          <w:rPr>
            <w:noProof/>
            <w:webHidden/>
          </w:rPr>
          <w:fldChar w:fldCharType="end"/>
        </w:r>
      </w:hyperlink>
    </w:p>
    <w:p w14:paraId="3F3BB5C4" w14:textId="295761AC" w:rsidR="00702624" w:rsidRDefault="00000000">
      <w:pPr>
        <w:pStyle w:val="TOC2"/>
        <w:tabs>
          <w:tab w:val="left" w:pos="880"/>
          <w:tab w:val="right" w:leader="dot" w:pos="9010"/>
        </w:tabs>
        <w:rPr>
          <w:rFonts w:eastAsiaTheme="minorEastAsia" w:cstheme="minorBidi"/>
          <w:smallCaps w:val="0"/>
          <w:noProof/>
          <w:sz w:val="22"/>
          <w:szCs w:val="22"/>
          <w:lang w:eastAsia="en-AU"/>
        </w:rPr>
      </w:pPr>
      <w:hyperlink w:anchor="_Toc124917426" w:history="1">
        <w:r w:rsidR="00702624" w:rsidRPr="00E92928">
          <w:rPr>
            <w:rStyle w:val="Hyperlink"/>
            <w:noProof/>
            <w:lang w:eastAsia="ja-JP"/>
          </w:rPr>
          <w:t>2.1</w:t>
        </w:r>
        <w:r w:rsidR="00702624">
          <w:rPr>
            <w:rFonts w:eastAsiaTheme="minorEastAsia" w:cstheme="minorBidi"/>
            <w:smallCaps w:val="0"/>
            <w:noProof/>
            <w:sz w:val="22"/>
            <w:szCs w:val="22"/>
            <w:lang w:eastAsia="en-AU"/>
          </w:rPr>
          <w:tab/>
        </w:r>
        <w:r w:rsidR="00702624" w:rsidRPr="00E92928">
          <w:rPr>
            <w:rStyle w:val="Hyperlink"/>
            <w:noProof/>
            <w:lang w:eastAsia="ja-JP"/>
          </w:rPr>
          <w:t>The current approach to setting remuneration is confusing</w:t>
        </w:r>
        <w:r w:rsidR="00702624">
          <w:rPr>
            <w:noProof/>
            <w:webHidden/>
          </w:rPr>
          <w:tab/>
        </w:r>
        <w:r w:rsidR="00702624">
          <w:rPr>
            <w:noProof/>
            <w:webHidden/>
          </w:rPr>
          <w:fldChar w:fldCharType="begin"/>
        </w:r>
        <w:r w:rsidR="00702624">
          <w:rPr>
            <w:noProof/>
            <w:webHidden/>
          </w:rPr>
          <w:instrText xml:space="preserve"> PAGEREF _Toc124917426 \h </w:instrText>
        </w:r>
        <w:r w:rsidR="00702624">
          <w:rPr>
            <w:noProof/>
            <w:webHidden/>
          </w:rPr>
        </w:r>
        <w:r w:rsidR="00702624">
          <w:rPr>
            <w:noProof/>
            <w:webHidden/>
          </w:rPr>
          <w:fldChar w:fldCharType="separate"/>
        </w:r>
        <w:r w:rsidR="006B2E7E">
          <w:rPr>
            <w:noProof/>
            <w:webHidden/>
          </w:rPr>
          <w:t>8</w:t>
        </w:r>
        <w:r w:rsidR="00702624">
          <w:rPr>
            <w:noProof/>
            <w:webHidden/>
          </w:rPr>
          <w:fldChar w:fldCharType="end"/>
        </w:r>
      </w:hyperlink>
    </w:p>
    <w:p w14:paraId="70B8EBE1" w14:textId="0AF70C61" w:rsidR="00702624" w:rsidRDefault="00000000">
      <w:pPr>
        <w:pStyle w:val="TOC2"/>
        <w:tabs>
          <w:tab w:val="left" w:pos="880"/>
          <w:tab w:val="right" w:leader="dot" w:pos="9010"/>
        </w:tabs>
        <w:rPr>
          <w:rFonts w:eastAsiaTheme="minorEastAsia" w:cstheme="minorBidi"/>
          <w:smallCaps w:val="0"/>
          <w:noProof/>
          <w:sz w:val="22"/>
          <w:szCs w:val="22"/>
          <w:lang w:eastAsia="en-AU"/>
        </w:rPr>
      </w:pPr>
      <w:hyperlink w:anchor="_Toc124917427" w:history="1">
        <w:r w:rsidR="00702624" w:rsidRPr="00E92928">
          <w:rPr>
            <w:rStyle w:val="Hyperlink"/>
            <w:noProof/>
            <w:lang w:eastAsia="ja-JP"/>
          </w:rPr>
          <w:t>2.2</w:t>
        </w:r>
        <w:r w:rsidR="00702624">
          <w:rPr>
            <w:rFonts w:eastAsiaTheme="minorEastAsia" w:cstheme="minorBidi"/>
            <w:smallCaps w:val="0"/>
            <w:noProof/>
            <w:sz w:val="22"/>
            <w:szCs w:val="22"/>
            <w:lang w:eastAsia="en-AU"/>
          </w:rPr>
          <w:tab/>
        </w:r>
        <w:r w:rsidR="00702624" w:rsidRPr="00E92928">
          <w:rPr>
            <w:rStyle w:val="Hyperlink"/>
            <w:noProof/>
            <w:lang w:eastAsia="ja-JP"/>
          </w:rPr>
          <w:t>The PRO was not designed for the tasks of administrators</w:t>
        </w:r>
        <w:r w:rsidR="00702624">
          <w:rPr>
            <w:noProof/>
            <w:webHidden/>
          </w:rPr>
          <w:tab/>
        </w:r>
        <w:r w:rsidR="00702624">
          <w:rPr>
            <w:noProof/>
            <w:webHidden/>
          </w:rPr>
          <w:fldChar w:fldCharType="begin"/>
        </w:r>
        <w:r w:rsidR="00702624">
          <w:rPr>
            <w:noProof/>
            <w:webHidden/>
          </w:rPr>
          <w:instrText xml:space="preserve"> PAGEREF _Toc124917427 \h </w:instrText>
        </w:r>
        <w:r w:rsidR="00702624">
          <w:rPr>
            <w:noProof/>
            <w:webHidden/>
          </w:rPr>
        </w:r>
        <w:r w:rsidR="00702624">
          <w:rPr>
            <w:noProof/>
            <w:webHidden/>
          </w:rPr>
          <w:fldChar w:fldCharType="separate"/>
        </w:r>
        <w:r w:rsidR="006B2E7E">
          <w:rPr>
            <w:noProof/>
            <w:webHidden/>
          </w:rPr>
          <w:t>8</w:t>
        </w:r>
        <w:r w:rsidR="00702624">
          <w:rPr>
            <w:noProof/>
            <w:webHidden/>
          </w:rPr>
          <w:fldChar w:fldCharType="end"/>
        </w:r>
      </w:hyperlink>
    </w:p>
    <w:p w14:paraId="013E021D" w14:textId="7461A3C9" w:rsidR="00702624" w:rsidRDefault="00000000">
      <w:pPr>
        <w:pStyle w:val="TOC2"/>
        <w:tabs>
          <w:tab w:val="left" w:pos="880"/>
          <w:tab w:val="right" w:leader="dot" w:pos="9010"/>
        </w:tabs>
        <w:rPr>
          <w:rFonts w:eastAsiaTheme="minorEastAsia" w:cstheme="minorBidi"/>
          <w:smallCaps w:val="0"/>
          <w:noProof/>
          <w:sz w:val="22"/>
          <w:szCs w:val="22"/>
          <w:lang w:eastAsia="en-AU"/>
        </w:rPr>
      </w:pPr>
      <w:hyperlink w:anchor="_Toc124917428" w:history="1">
        <w:r w:rsidR="00702624" w:rsidRPr="00E92928">
          <w:rPr>
            <w:rStyle w:val="Hyperlink"/>
            <w:noProof/>
            <w:lang w:eastAsia="ja-JP"/>
          </w:rPr>
          <w:t>2.3</w:t>
        </w:r>
        <w:r w:rsidR="00702624">
          <w:rPr>
            <w:rFonts w:eastAsiaTheme="minorEastAsia" w:cstheme="minorBidi"/>
            <w:smallCaps w:val="0"/>
            <w:noProof/>
            <w:sz w:val="22"/>
            <w:szCs w:val="22"/>
            <w:lang w:eastAsia="en-AU"/>
          </w:rPr>
          <w:tab/>
        </w:r>
        <w:r w:rsidR="00702624" w:rsidRPr="00E92928">
          <w:rPr>
            <w:rStyle w:val="Hyperlink"/>
            <w:noProof/>
            <w:lang w:eastAsia="ja-JP"/>
          </w:rPr>
          <w:t>Case studies</w:t>
        </w:r>
        <w:r w:rsidR="00702624">
          <w:rPr>
            <w:noProof/>
            <w:webHidden/>
          </w:rPr>
          <w:tab/>
        </w:r>
        <w:r w:rsidR="00702624">
          <w:rPr>
            <w:noProof/>
            <w:webHidden/>
          </w:rPr>
          <w:fldChar w:fldCharType="begin"/>
        </w:r>
        <w:r w:rsidR="00702624">
          <w:rPr>
            <w:noProof/>
            <w:webHidden/>
          </w:rPr>
          <w:instrText xml:space="preserve"> PAGEREF _Toc124917428 \h </w:instrText>
        </w:r>
        <w:r w:rsidR="00702624">
          <w:rPr>
            <w:noProof/>
            <w:webHidden/>
          </w:rPr>
        </w:r>
        <w:r w:rsidR="00702624">
          <w:rPr>
            <w:noProof/>
            <w:webHidden/>
          </w:rPr>
          <w:fldChar w:fldCharType="separate"/>
        </w:r>
        <w:r w:rsidR="006B2E7E">
          <w:rPr>
            <w:noProof/>
            <w:webHidden/>
          </w:rPr>
          <w:t>9</w:t>
        </w:r>
        <w:r w:rsidR="00702624">
          <w:rPr>
            <w:noProof/>
            <w:webHidden/>
          </w:rPr>
          <w:fldChar w:fldCharType="end"/>
        </w:r>
      </w:hyperlink>
    </w:p>
    <w:p w14:paraId="42E3D140" w14:textId="71D2AC0A" w:rsidR="00702624" w:rsidRDefault="00000000">
      <w:pPr>
        <w:pStyle w:val="TOC2"/>
        <w:tabs>
          <w:tab w:val="left" w:pos="880"/>
          <w:tab w:val="right" w:leader="dot" w:pos="9010"/>
        </w:tabs>
        <w:rPr>
          <w:rFonts w:eastAsiaTheme="minorEastAsia" w:cstheme="minorBidi"/>
          <w:smallCaps w:val="0"/>
          <w:noProof/>
          <w:sz w:val="22"/>
          <w:szCs w:val="22"/>
          <w:lang w:eastAsia="en-AU"/>
        </w:rPr>
      </w:pPr>
      <w:hyperlink w:anchor="_Toc124917429" w:history="1">
        <w:r w:rsidR="00702624" w:rsidRPr="00E92928">
          <w:rPr>
            <w:rStyle w:val="Hyperlink"/>
            <w:noProof/>
            <w:lang w:eastAsia="ja-JP"/>
          </w:rPr>
          <w:t>2.4</w:t>
        </w:r>
        <w:r w:rsidR="00702624">
          <w:rPr>
            <w:rFonts w:eastAsiaTheme="minorEastAsia" w:cstheme="minorBidi"/>
            <w:smallCaps w:val="0"/>
            <w:noProof/>
            <w:sz w:val="22"/>
            <w:szCs w:val="22"/>
            <w:lang w:eastAsia="en-AU"/>
          </w:rPr>
          <w:tab/>
        </w:r>
        <w:r w:rsidR="00702624" w:rsidRPr="00E92928">
          <w:rPr>
            <w:rStyle w:val="Hyperlink"/>
            <w:noProof/>
            <w:lang w:eastAsia="ja-JP"/>
          </w:rPr>
          <w:t>Preliminary consultation</w:t>
        </w:r>
        <w:r w:rsidR="00702624">
          <w:rPr>
            <w:noProof/>
            <w:webHidden/>
          </w:rPr>
          <w:tab/>
        </w:r>
        <w:r w:rsidR="00702624">
          <w:rPr>
            <w:noProof/>
            <w:webHidden/>
          </w:rPr>
          <w:fldChar w:fldCharType="begin"/>
        </w:r>
        <w:r w:rsidR="00702624">
          <w:rPr>
            <w:noProof/>
            <w:webHidden/>
          </w:rPr>
          <w:instrText xml:space="preserve"> PAGEREF _Toc124917429 \h </w:instrText>
        </w:r>
        <w:r w:rsidR="00702624">
          <w:rPr>
            <w:noProof/>
            <w:webHidden/>
          </w:rPr>
        </w:r>
        <w:r w:rsidR="00702624">
          <w:rPr>
            <w:noProof/>
            <w:webHidden/>
          </w:rPr>
          <w:fldChar w:fldCharType="separate"/>
        </w:r>
        <w:r w:rsidR="006B2E7E">
          <w:rPr>
            <w:noProof/>
            <w:webHidden/>
          </w:rPr>
          <w:t>11</w:t>
        </w:r>
        <w:r w:rsidR="00702624">
          <w:rPr>
            <w:noProof/>
            <w:webHidden/>
          </w:rPr>
          <w:fldChar w:fldCharType="end"/>
        </w:r>
      </w:hyperlink>
    </w:p>
    <w:p w14:paraId="38DF5F5D" w14:textId="506B412D" w:rsidR="00702624" w:rsidRDefault="00000000">
      <w:pPr>
        <w:pStyle w:val="TOC1"/>
        <w:rPr>
          <w:rFonts w:eastAsiaTheme="minorEastAsia" w:cstheme="minorBidi"/>
          <w:b w:val="0"/>
          <w:bCs w:val="0"/>
          <w:caps w:val="0"/>
          <w:noProof/>
          <w:sz w:val="22"/>
          <w:szCs w:val="22"/>
          <w:lang w:eastAsia="en-AU"/>
        </w:rPr>
      </w:pPr>
      <w:hyperlink w:anchor="_Toc124917430" w:history="1">
        <w:r w:rsidR="00702624" w:rsidRPr="00E92928">
          <w:rPr>
            <w:rStyle w:val="Hyperlink"/>
            <w:noProof/>
            <w:lang w:eastAsia="ja-JP"/>
          </w:rPr>
          <w:t>3</w:t>
        </w:r>
        <w:r w:rsidR="00702624">
          <w:rPr>
            <w:rFonts w:eastAsiaTheme="minorEastAsia" w:cstheme="minorBidi"/>
            <w:b w:val="0"/>
            <w:bCs w:val="0"/>
            <w:caps w:val="0"/>
            <w:noProof/>
            <w:sz w:val="22"/>
            <w:szCs w:val="22"/>
            <w:lang w:eastAsia="en-AU"/>
          </w:rPr>
          <w:tab/>
        </w:r>
        <w:r w:rsidR="00702624" w:rsidRPr="00E92928">
          <w:rPr>
            <w:rStyle w:val="Hyperlink"/>
            <w:noProof/>
            <w:lang w:eastAsia="ja-JP"/>
          </w:rPr>
          <w:t>Addressing the problems by setting a remuneration scale</w:t>
        </w:r>
        <w:r w:rsidR="00702624">
          <w:rPr>
            <w:noProof/>
            <w:webHidden/>
          </w:rPr>
          <w:tab/>
        </w:r>
        <w:r w:rsidR="00702624">
          <w:rPr>
            <w:noProof/>
            <w:webHidden/>
          </w:rPr>
          <w:fldChar w:fldCharType="begin"/>
        </w:r>
        <w:r w:rsidR="00702624">
          <w:rPr>
            <w:noProof/>
            <w:webHidden/>
          </w:rPr>
          <w:instrText xml:space="preserve"> PAGEREF _Toc124917430 \h </w:instrText>
        </w:r>
        <w:r w:rsidR="00702624">
          <w:rPr>
            <w:noProof/>
            <w:webHidden/>
          </w:rPr>
        </w:r>
        <w:r w:rsidR="00702624">
          <w:rPr>
            <w:noProof/>
            <w:webHidden/>
          </w:rPr>
          <w:fldChar w:fldCharType="separate"/>
        </w:r>
        <w:r w:rsidR="006B2E7E">
          <w:rPr>
            <w:noProof/>
            <w:webHidden/>
          </w:rPr>
          <w:t>13</w:t>
        </w:r>
        <w:r w:rsidR="00702624">
          <w:rPr>
            <w:noProof/>
            <w:webHidden/>
          </w:rPr>
          <w:fldChar w:fldCharType="end"/>
        </w:r>
      </w:hyperlink>
    </w:p>
    <w:p w14:paraId="6C5A534A" w14:textId="2EC6C3A6" w:rsidR="00702624" w:rsidRDefault="00000000">
      <w:pPr>
        <w:pStyle w:val="TOC2"/>
        <w:tabs>
          <w:tab w:val="left" w:pos="880"/>
          <w:tab w:val="right" w:leader="dot" w:pos="9010"/>
        </w:tabs>
        <w:rPr>
          <w:rFonts w:eastAsiaTheme="minorEastAsia" w:cstheme="minorBidi"/>
          <w:smallCaps w:val="0"/>
          <w:noProof/>
          <w:sz w:val="22"/>
          <w:szCs w:val="22"/>
          <w:lang w:eastAsia="en-AU"/>
        </w:rPr>
      </w:pPr>
      <w:hyperlink w:anchor="_Toc124917431" w:history="1">
        <w:r w:rsidR="00702624" w:rsidRPr="00E92928">
          <w:rPr>
            <w:rStyle w:val="Hyperlink"/>
            <w:noProof/>
            <w:lang w:eastAsia="ja-JP"/>
          </w:rPr>
          <w:t>3.1</w:t>
        </w:r>
        <w:r w:rsidR="00702624">
          <w:rPr>
            <w:rFonts w:eastAsiaTheme="minorEastAsia" w:cstheme="minorBidi"/>
            <w:smallCaps w:val="0"/>
            <w:noProof/>
            <w:sz w:val="22"/>
            <w:szCs w:val="22"/>
            <w:lang w:eastAsia="en-AU"/>
          </w:rPr>
          <w:tab/>
        </w:r>
        <w:r w:rsidR="00702624" w:rsidRPr="00E92928">
          <w:rPr>
            <w:rStyle w:val="Hyperlink"/>
            <w:noProof/>
            <w:lang w:eastAsia="ja-JP"/>
          </w:rPr>
          <w:t>Remuneration setting principles</w:t>
        </w:r>
        <w:r w:rsidR="00702624">
          <w:rPr>
            <w:noProof/>
            <w:webHidden/>
          </w:rPr>
          <w:tab/>
        </w:r>
        <w:r w:rsidR="00702624">
          <w:rPr>
            <w:noProof/>
            <w:webHidden/>
          </w:rPr>
          <w:fldChar w:fldCharType="begin"/>
        </w:r>
        <w:r w:rsidR="00702624">
          <w:rPr>
            <w:noProof/>
            <w:webHidden/>
          </w:rPr>
          <w:instrText xml:space="preserve"> PAGEREF _Toc124917431 \h </w:instrText>
        </w:r>
        <w:r w:rsidR="00702624">
          <w:rPr>
            <w:noProof/>
            <w:webHidden/>
          </w:rPr>
        </w:r>
        <w:r w:rsidR="00702624">
          <w:rPr>
            <w:noProof/>
            <w:webHidden/>
          </w:rPr>
          <w:fldChar w:fldCharType="separate"/>
        </w:r>
        <w:r w:rsidR="006B2E7E">
          <w:rPr>
            <w:noProof/>
            <w:webHidden/>
          </w:rPr>
          <w:t>13</w:t>
        </w:r>
        <w:r w:rsidR="00702624">
          <w:rPr>
            <w:noProof/>
            <w:webHidden/>
          </w:rPr>
          <w:fldChar w:fldCharType="end"/>
        </w:r>
      </w:hyperlink>
    </w:p>
    <w:p w14:paraId="603A3C49" w14:textId="068E6870" w:rsidR="00702624" w:rsidRDefault="00000000">
      <w:pPr>
        <w:pStyle w:val="TOC2"/>
        <w:tabs>
          <w:tab w:val="left" w:pos="880"/>
          <w:tab w:val="right" w:leader="dot" w:pos="9010"/>
        </w:tabs>
        <w:rPr>
          <w:rFonts w:eastAsiaTheme="minorEastAsia" w:cstheme="minorBidi"/>
          <w:smallCaps w:val="0"/>
          <w:noProof/>
          <w:sz w:val="22"/>
          <w:szCs w:val="22"/>
          <w:lang w:eastAsia="en-AU"/>
        </w:rPr>
      </w:pPr>
      <w:hyperlink w:anchor="_Toc124917432" w:history="1">
        <w:r w:rsidR="00702624" w:rsidRPr="00E92928">
          <w:rPr>
            <w:rStyle w:val="Hyperlink"/>
            <w:noProof/>
            <w:lang w:eastAsia="ja-JP"/>
          </w:rPr>
          <w:t>3.2</w:t>
        </w:r>
        <w:r w:rsidR="00702624">
          <w:rPr>
            <w:rFonts w:eastAsiaTheme="minorEastAsia" w:cstheme="minorBidi"/>
            <w:smallCaps w:val="0"/>
            <w:noProof/>
            <w:sz w:val="22"/>
            <w:szCs w:val="22"/>
            <w:lang w:eastAsia="en-AU"/>
          </w:rPr>
          <w:tab/>
        </w:r>
        <w:r w:rsidR="00702624" w:rsidRPr="00E92928">
          <w:rPr>
            <w:rStyle w:val="Hyperlink"/>
            <w:noProof/>
            <w:lang w:eastAsia="ja-JP"/>
          </w:rPr>
          <w:t>What problems can and can’t be solved by setting a scale</w:t>
        </w:r>
        <w:r w:rsidR="00702624">
          <w:rPr>
            <w:noProof/>
            <w:webHidden/>
          </w:rPr>
          <w:tab/>
        </w:r>
        <w:r w:rsidR="00702624">
          <w:rPr>
            <w:noProof/>
            <w:webHidden/>
          </w:rPr>
          <w:fldChar w:fldCharType="begin"/>
        </w:r>
        <w:r w:rsidR="00702624">
          <w:rPr>
            <w:noProof/>
            <w:webHidden/>
          </w:rPr>
          <w:instrText xml:space="preserve"> PAGEREF _Toc124917432 \h </w:instrText>
        </w:r>
        <w:r w:rsidR="00702624">
          <w:rPr>
            <w:noProof/>
            <w:webHidden/>
          </w:rPr>
        </w:r>
        <w:r w:rsidR="00702624">
          <w:rPr>
            <w:noProof/>
            <w:webHidden/>
          </w:rPr>
          <w:fldChar w:fldCharType="separate"/>
        </w:r>
        <w:r w:rsidR="006B2E7E">
          <w:rPr>
            <w:noProof/>
            <w:webHidden/>
          </w:rPr>
          <w:t>13</w:t>
        </w:r>
        <w:r w:rsidR="00702624">
          <w:rPr>
            <w:noProof/>
            <w:webHidden/>
          </w:rPr>
          <w:fldChar w:fldCharType="end"/>
        </w:r>
      </w:hyperlink>
    </w:p>
    <w:p w14:paraId="3527A6D8" w14:textId="33700BF6" w:rsidR="00702624" w:rsidRDefault="00000000">
      <w:pPr>
        <w:pStyle w:val="TOC3"/>
        <w:tabs>
          <w:tab w:val="left" w:pos="1100"/>
          <w:tab w:val="right" w:leader="dot" w:pos="9010"/>
        </w:tabs>
        <w:rPr>
          <w:rFonts w:eastAsiaTheme="minorEastAsia" w:cstheme="minorBidi"/>
          <w:i w:val="0"/>
          <w:iCs w:val="0"/>
          <w:noProof/>
          <w:sz w:val="22"/>
          <w:szCs w:val="22"/>
          <w:lang w:eastAsia="en-AU"/>
        </w:rPr>
      </w:pPr>
      <w:hyperlink w:anchor="_Toc124917433" w:history="1">
        <w:r w:rsidR="00702624" w:rsidRPr="00E92928">
          <w:rPr>
            <w:rStyle w:val="Hyperlink"/>
            <w:noProof/>
            <w:lang w:eastAsia="ja-JP"/>
          </w:rPr>
          <w:t>3.2.1</w:t>
        </w:r>
        <w:r w:rsidR="00702624">
          <w:rPr>
            <w:rFonts w:eastAsiaTheme="minorEastAsia" w:cstheme="minorBidi"/>
            <w:i w:val="0"/>
            <w:iCs w:val="0"/>
            <w:noProof/>
            <w:sz w:val="22"/>
            <w:szCs w:val="22"/>
            <w:lang w:eastAsia="en-AU"/>
          </w:rPr>
          <w:tab/>
        </w:r>
        <w:r w:rsidR="00702624" w:rsidRPr="00E92928">
          <w:rPr>
            <w:rStyle w:val="Hyperlink"/>
            <w:noProof/>
            <w:lang w:eastAsia="ja-JP"/>
          </w:rPr>
          <w:t>Trustee organisations not within scope of recommended scale</w:t>
        </w:r>
        <w:r w:rsidR="00702624">
          <w:rPr>
            <w:noProof/>
            <w:webHidden/>
          </w:rPr>
          <w:tab/>
        </w:r>
        <w:r w:rsidR="00702624">
          <w:rPr>
            <w:noProof/>
            <w:webHidden/>
          </w:rPr>
          <w:fldChar w:fldCharType="begin"/>
        </w:r>
        <w:r w:rsidR="00702624">
          <w:rPr>
            <w:noProof/>
            <w:webHidden/>
          </w:rPr>
          <w:instrText xml:space="preserve"> PAGEREF _Toc124917433 \h </w:instrText>
        </w:r>
        <w:r w:rsidR="00702624">
          <w:rPr>
            <w:noProof/>
            <w:webHidden/>
          </w:rPr>
        </w:r>
        <w:r w:rsidR="00702624">
          <w:rPr>
            <w:noProof/>
            <w:webHidden/>
          </w:rPr>
          <w:fldChar w:fldCharType="separate"/>
        </w:r>
        <w:r w:rsidR="006B2E7E">
          <w:rPr>
            <w:noProof/>
            <w:webHidden/>
          </w:rPr>
          <w:t>14</w:t>
        </w:r>
        <w:r w:rsidR="00702624">
          <w:rPr>
            <w:noProof/>
            <w:webHidden/>
          </w:rPr>
          <w:fldChar w:fldCharType="end"/>
        </w:r>
      </w:hyperlink>
    </w:p>
    <w:p w14:paraId="4D387CA4" w14:textId="2A2CE60B" w:rsidR="00702624" w:rsidRDefault="00000000">
      <w:pPr>
        <w:pStyle w:val="TOC2"/>
        <w:tabs>
          <w:tab w:val="left" w:pos="880"/>
          <w:tab w:val="right" w:leader="dot" w:pos="9010"/>
        </w:tabs>
        <w:rPr>
          <w:rFonts w:eastAsiaTheme="minorEastAsia" w:cstheme="minorBidi"/>
          <w:smallCaps w:val="0"/>
          <w:noProof/>
          <w:sz w:val="22"/>
          <w:szCs w:val="22"/>
          <w:lang w:eastAsia="en-AU"/>
        </w:rPr>
      </w:pPr>
      <w:hyperlink w:anchor="_Toc124917434" w:history="1">
        <w:r w:rsidR="00702624" w:rsidRPr="00E92928">
          <w:rPr>
            <w:rStyle w:val="Hyperlink"/>
            <w:noProof/>
            <w:lang w:eastAsia="ja-JP"/>
          </w:rPr>
          <w:t>3.3</w:t>
        </w:r>
        <w:r w:rsidR="00702624">
          <w:rPr>
            <w:rFonts w:eastAsiaTheme="minorEastAsia" w:cstheme="minorBidi"/>
            <w:smallCaps w:val="0"/>
            <w:noProof/>
            <w:sz w:val="22"/>
            <w:szCs w:val="22"/>
            <w:lang w:eastAsia="en-AU"/>
          </w:rPr>
          <w:tab/>
        </w:r>
        <w:r w:rsidR="00702624" w:rsidRPr="00E92928">
          <w:rPr>
            <w:rStyle w:val="Hyperlink"/>
            <w:noProof/>
            <w:lang w:eastAsia="ja-JP"/>
          </w:rPr>
          <w:t>Fairness to the Represented Person</w:t>
        </w:r>
        <w:r w:rsidR="00702624">
          <w:rPr>
            <w:noProof/>
            <w:webHidden/>
          </w:rPr>
          <w:tab/>
        </w:r>
        <w:r w:rsidR="00702624">
          <w:rPr>
            <w:noProof/>
            <w:webHidden/>
          </w:rPr>
          <w:fldChar w:fldCharType="begin"/>
        </w:r>
        <w:r w:rsidR="00702624">
          <w:rPr>
            <w:noProof/>
            <w:webHidden/>
          </w:rPr>
          <w:instrText xml:space="preserve"> PAGEREF _Toc124917434 \h </w:instrText>
        </w:r>
        <w:r w:rsidR="00702624">
          <w:rPr>
            <w:noProof/>
            <w:webHidden/>
          </w:rPr>
        </w:r>
        <w:r w:rsidR="00702624">
          <w:rPr>
            <w:noProof/>
            <w:webHidden/>
          </w:rPr>
          <w:fldChar w:fldCharType="separate"/>
        </w:r>
        <w:r w:rsidR="006B2E7E">
          <w:rPr>
            <w:noProof/>
            <w:webHidden/>
          </w:rPr>
          <w:t>14</w:t>
        </w:r>
        <w:r w:rsidR="00702624">
          <w:rPr>
            <w:noProof/>
            <w:webHidden/>
          </w:rPr>
          <w:fldChar w:fldCharType="end"/>
        </w:r>
      </w:hyperlink>
    </w:p>
    <w:p w14:paraId="0B12870F" w14:textId="7251284F" w:rsidR="00702624" w:rsidRDefault="00000000">
      <w:pPr>
        <w:pStyle w:val="TOC2"/>
        <w:tabs>
          <w:tab w:val="left" w:pos="880"/>
          <w:tab w:val="right" w:leader="dot" w:pos="9010"/>
        </w:tabs>
        <w:rPr>
          <w:rFonts w:eastAsiaTheme="minorEastAsia" w:cstheme="minorBidi"/>
          <w:smallCaps w:val="0"/>
          <w:noProof/>
          <w:sz w:val="22"/>
          <w:szCs w:val="22"/>
          <w:lang w:eastAsia="en-AU"/>
        </w:rPr>
      </w:pPr>
      <w:hyperlink w:anchor="_Toc124917435" w:history="1">
        <w:r w:rsidR="00702624" w:rsidRPr="00E92928">
          <w:rPr>
            <w:rStyle w:val="Hyperlink"/>
            <w:noProof/>
            <w:lang w:eastAsia="ja-JP"/>
          </w:rPr>
          <w:t>3.4</w:t>
        </w:r>
        <w:r w:rsidR="00702624">
          <w:rPr>
            <w:rFonts w:eastAsiaTheme="minorEastAsia" w:cstheme="minorBidi"/>
            <w:smallCaps w:val="0"/>
            <w:noProof/>
            <w:sz w:val="22"/>
            <w:szCs w:val="22"/>
            <w:lang w:eastAsia="en-AU"/>
          </w:rPr>
          <w:tab/>
        </w:r>
        <w:r w:rsidR="00702624" w:rsidRPr="00E92928">
          <w:rPr>
            <w:rStyle w:val="Hyperlink"/>
            <w:noProof/>
            <w:lang w:eastAsia="ja-JP"/>
          </w:rPr>
          <w:t>Fair remuneration to the administrator</w:t>
        </w:r>
        <w:r w:rsidR="00702624">
          <w:rPr>
            <w:noProof/>
            <w:webHidden/>
          </w:rPr>
          <w:tab/>
        </w:r>
        <w:r w:rsidR="00702624">
          <w:rPr>
            <w:noProof/>
            <w:webHidden/>
          </w:rPr>
          <w:fldChar w:fldCharType="begin"/>
        </w:r>
        <w:r w:rsidR="00702624">
          <w:rPr>
            <w:noProof/>
            <w:webHidden/>
          </w:rPr>
          <w:instrText xml:space="preserve"> PAGEREF _Toc124917435 \h </w:instrText>
        </w:r>
        <w:r w:rsidR="00702624">
          <w:rPr>
            <w:noProof/>
            <w:webHidden/>
          </w:rPr>
        </w:r>
        <w:r w:rsidR="00702624">
          <w:rPr>
            <w:noProof/>
            <w:webHidden/>
          </w:rPr>
          <w:fldChar w:fldCharType="separate"/>
        </w:r>
        <w:r w:rsidR="006B2E7E">
          <w:rPr>
            <w:noProof/>
            <w:webHidden/>
          </w:rPr>
          <w:t>15</w:t>
        </w:r>
        <w:r w:rsidR="00702624">
          <w:rPr>
            <w:noProof/>
            <w:webHidden/>
          </w:rPr>
          <w:fldChar w:fldCharType="end"/>
        </w:r>
      </w:hyperlink>
    </w:p>
    <w:p w14:paraId="60D3F801" w14:textId="267BDE34" w:rsidR="00702624" w:rsidRDefault="00000000">
      <w:pPr>
        <w:pStyle w:val="TOC2"/>
        <w:tabs>
          <w:tab w:val="left" w:pos="880"/>
          <w:tab w:val="right" w:leader="dot" w:pos="9010"/>
        </w:tabs>
        <w:rPr>
          <w:rFonts w:eastAsiaTheme="minorEastAsia" w:cstheme="minorBidi"/>
          <w:smallCaps w:val="0"/>
          <w:noProof/>
          <w:sz w:val="22"/>
          <w:szCs w:val="22"/>
          <w:lang w:eastAsia="en-AU"/>
        </w:rPr>
      </w:pPr>
      <w:hyperlink w:anchor="_Toc124917436" w:history="1">
        <w:r w:rsidR="00702624" w:rsidRPr="00E92928">
          <w:rPr>
            <w:rStyle w:val="Hyperlink"/>
            <w:noProof/>
            <w:lang w:eastAsia="ja-JP"/>
          </w:rPr>
          <w:t>3.5</w:t>
        </w:r>
        <w:r w:rsidR="00702624">
          <w:rPr>
            <w:rFonts w:eastAsiaTheme="minorEastAsia" w:cstheme="minorBidi"/>
            <w:smallCaps w:val="0"/>
            <w:noProof/>
            <w:sz w:val="22"/>
            <w:szCs w:val="22"/>
            <w:lang w:eastAsia="en-AU"/>
          </w:rPr>
          <w:tab/>
        </w:r>
        <w:r w:rsidR="00702624" w:rsidRPr="00E92928">
          <w:rPr>
            <w:rStyle w:val="Hyperlink"/>
            <w:noProof/>
            <w:lang w:eastAsia="ja-JP"/>
          </w:rPr>
          <w:t>Task-based approach to delineation</w:t>
        </w:r>
        <w:r w:rsidR="00702624">
          <w:rPr>
            <w:noProof/>
            <w:webHidden/>
          </w:rPr>
          <w:tab/>
        </w:r>
        <w:r w:rsidR="00702624">
          <w:rPr>
            <w:noProof/>
            <w:webHidden/>
          </w:rPr>
          <w:fldChar w:fldCharType="begin"/>
        </w:r>
        <w:r w:rsidR="00702624">
          <w:rPr>
            <w:noProof/>
            <w:webHidden/>
          </w:rPr>
          <w:instrText xml:space="preserve"> PAGEREF _Toc124917436 \h </w:instrText>
        </w:r>
        <w:r w:rsidR="00702624">
          <w:rPr>
            <w:noProof/>
            <w:webHidden/>
          </w:rPr>
        </w:r>
        <w:r w:rsidR="00702624">
          <w:rPr>
            <w:noProof/>
            <w:webHidden/>
          </w:rPr>
          <w:fldChar w:fldCharType="separate"/>
        </w:r>
        <w:r w:rsidR="006B2E7E">
          <w:rPr>
            <w:noProof/>
            <w:webHidden/>
          </w:rPr>
          <w:t>16</w:t>
        </w:r>
        <w:r w:rsidR="00702624">
          <w:rPr>
            <w:noProof/>
            <w:webHidden/>
          </w:rPr>
          <w:fldChar w:fldCharType="end"/>
        </w:r>
      </w:hyperlink>
    </w:p>
    <w:p w14:paraId="3EDE28FD" w14:textId="49E64A9F" w:rsidR="00702624" w:rsidRDefault="00000000">
      <w:pPr>
        <w:pStyle w:val="TOC2"/>
        <w:tabs>
          <w:tab w:val="left" w:pos="880"/>
          <w:tab w:val="right" w:leader="dot" w:pos="9010"/>
        </w:tabs>
        <w:rPr>
          <w:rFonts w:eastAsiaTheme="minorEastAsia" w:cstheme="minorBidi"/>
          <w:smallCaps w:val="0"/>
          <w:noProof/>
          <w:sz w:val="22"/>
          <w:szCs w:val="22"/>
          <w:lang w:eastAsia="en-AU"/>
        </w:rPr>
      </w:pPr>
      <w:hyperlink w:anchor="_Toc124917437" w:history="1">
        <w:r w:rsidR="00702624" w:rsidRPr="00E92928">
          <w:rPr>
            <w:rStyle w:val="Hyperlink"/>
            <w:noProof/>
            <w:lang w:eastAsia="ja-JP"/>
          </w:rPr>
          <w:t>3.6</w:t>
        </w:r>
        <w:r w:rsidR="00702624">
          <w:rPr>
            <w:rFonts w:eastAsiaTheme="minorEastAsia" w:cstheme="minorBidi"/>
            <w:smallCaps w:val="0"/>
            <w:noProof/>
            <w:sz w:val="22"/>
            <w:szCs w:val="22"/>
            <w:lang w:eastAsia="en-AU"/>
          </w:rPr>
          <w:tab/>
        </w:r>
        <w:r w:rsidR="00702624" w:rsidRPr="00E92928">
          <w:rPr>
            <w:rStyle w:val="Hyperlink"/>
            <w:noProof/>
            <w:lang w:eastAsia="ja-JP"/>
          </w:rPr>
          <w:t>Fee caps</w:t>
        </w:r>
        <w:r w:rsidR="00702624">
          <w:rPr>
            <w:noProof/>
            <w:webHidden/>
          </w:rPr>
          <w:tab/>
        </w:r>
        <w:r w:rsidR="00702624">
          <w:rPr>
            <w:noProof/>
            <w:webHidden/>
          </w:rPr>
          <w:fldChar w:fldCharType="begin"/>
        </w:r>
        <w:r w:rsidR="00702624">
          <w:rPr>
            <w:noProof/>
            <w:webHidden/>
          </w:rPr>
          <w:instrText xml:space="preserve"> PAGEREF _Toc124917437 \h </w:instrText>
        </w:r>
        <w:r w:rsidR="00702624">
          <w:rPr>
            <w:noProof/>
            <w:webHidden/>
          </w:rPr>
        </w:r>
        <w:r w:rsidR="00702624">
          <w:rPr>
            <w:noProof/>
            <w:webHidden/>
          </w:rPr>
          <w:fldChar w:fldCharType="separate"/>
        </w:r>
        <w:r w:rsidR="006B2E7E">
          <w:rPr>
            <w:noProof/>
            <w:webHidden/>
          </w:rPr>
          <w:t>19</w:t>
        </w:r>
        <w:r w:rsidR="00702624">
          <w:rPr>
            <w:noProof/>
            <w:webHidden/>
          </w:rPr>
          <w:fldChar w:fldCharType="end"/>
        </w:r>
      </w:hyperlink>
    </w:p>
    <w:p w14:paraId="6BD73797" w14:textId="27E1EC47" w:rsidR="00702624" w:rsidRDefault="00000000">
      <w:pPr>
        <w:pStyle w:val="TOC2"/>
        <w:tabs>
          <w:tab w:val="left" w:pos="880"/>
          <w:tab w:val="right" w:leader="dot" w:pos="9010"/>
        </w:tabs>
        <w:rPr>
          <w:rFonts w:eastAsiaTheme="minorEastAsia" w:cstheme="minorBidi"/>
          <w:smallCaps w:val="0"/>
          <w:noProof/>
          <w:sz w:val="22"/>
          <w:szCs w:val="22"/>
          <w:lang w:eastAsia="en-AU"/>
        </w:rPr>
      </w:pPr>
      <w:hyperlink w:anchor="_Toc124917438" w:history="1">
        <w:r w:rsidR="00702624" w:rsidRPr="00E92928">
          <w:rPr>
            <w:rStyle w:val="Hyperlink"/>
            <w:noProof/>
            <w:lang w:eastAsia="ja-JP"/>
          </w:rPr>
          <w:t>3.7</w:t>
        </w:r>
        <w:r w:rsidR="00702624">
          <w:rPr>
            <w:rFonts w:eastAsiaTheme="minorEastAsia" w:cstheme="minorBidi"/>
            <w:smallCaps w:val="0"/>
            <w:noProof/>
            <w:sz w:val="22"/>
            <w:szCs w:val="22"/>
            <w:lang w:eastAsia="en-AU"/>
          </w:rPr>
          <w:tab/>
        </w:r>
        <w:r w:rsidR="00702624" w:rsidRPr="00E92928">
          <w:rPr>
            <w:rStyle w:val="Hyperlink"/>
            <w:noProof/>
            <w:lang w:eastAsia="ja-JP"/>
          </w:rPr>
          <w:t>Overall assessment of proposed remuneration scale</w:t>
        </w:r>
        <w:r w:rsidR="00702624">
          <w:rPr>
            <w:noProof/>
            <w:webHidden/>
          </w:rPr>
          <w:tab/>
        </w:r>
        <w:r w:rsidR="00702624">
          <w:rPr>
            <w:noProof/>
            <w:webHidden/>
          </w:rPr>
          <w:fldChar w:fldCharType="begin"/>
        </w:r>
        <w:r w:rsidR="00702624">
          <w:rPr>
            <w:noProof/>
            <w:webHidden/>
          </w:rPr>
          <w:instrText xml:space="preserve"> PAGEREF _Toc124917438 \h </w:instrText>
        </w:r>
        <w:r w:rsidR="00702624">
          <w:rPr>
            <w:noProof/>
            <w:webHidden/>
          </w:rPr>
        </w:r>
        <w:r w:rsidR="00702624">
          <w:rPr>
            <w:noProof/>
            <w:webHidden/>
          </w:rPr>
          <w:fldChar w:fldCharType="separate"/>
        </w:r>
        <w:r w:rsidR="006B2E7E">
          <w:rPr>
            <w:noProof/>
            <w:webHidden/>
          </w:rPr>
          <w:t>20</w:t>
        </w:r>
        <w:r w:rsidR="00702624">
          <w:rPr>
            <w:noProof/>
            <w:webHidden/>
          </w:rPr>
          <w:fldChar w:fldCharType="end"/>
        </w:r>
      </w:hyperlink>
    </w:p>
    <w:p w14:paraId="3A7C9936" w14:textId="1AEBBACA" w:rsidR="00702624" w:rsidRDefault="00000000">
      <w:pPr>
        <w:pStyle w:val="TOC1"/>
        <w:rPr>
          <w:rFonts w:eastAsiaTheme="minorEastAsia" w:cstheme="minorBidi"/>
          <w:b w:val="0"/>
          <w:bCs w:val="0"/>
          <w:caps w:val="0"/>
          <w:noProof/>
          <w:sz w:val="22"/>
          <w:szCs w:val="22"/>
          <w:lang w:eastAsia="en-AU"/>
        </w:rPr>
      </w:pPr>
      <w:hyperlink w:anchor="_Toc124917439" w:history="1">
        <w:r w:rsidR="00702624" w:rsidRPr="00E92928">
          <w:rPr>
            <w:rStyle w:val="Hyperlink"/>
            <w:noProof/>
            <w:lang w:eastAsia="ja-JP"/>
          </w:rPr>
          <w:t>4</w:t>
        </w:r>
        <w:r w:rsidR="00702624">
          <w:rPr>
            <w:rFonts w:eastAsiaTheme="minorEastAsia" w:cstheme="minorBidi"/>
            <w:b w:val="0"/>
            <w:bCs w:val="0"/>
            <w:caps w:val="0"/>
            <w:noProof/>
            <w:sz w:val="22"/>
            <w:szCs w:val="22"/>
            <w:lang w:eastAsia="en-AU"/>
          </w:rPr>
          <w:tab/>
        </w:r>
        <w:r w:rsidR="00702624" w:rsidRPr="00E92928">
          <w:rPr>
            <w:rStyle w:val="Hyperlink"/>
            <w:noProof/>
            <w:lang w:eastAsia="ja-JP"/>
          </w:rPr>
          <w:t>Other matters</w:t>
        </w:r>
        <w:r w:rsidR="00702624">
          <w:rPr>
            <w:noProof/>
            <w:webHidden/>
          </w:rPr>
          <w:tab/>
        </w:r>
        <w:r w:rsidR="00702624">
          <w:rPr>
            <w:noProof/>
            <w:webHidden/>
          </w:rPr>
          <w:fldChar w:fldCharType="begin"/>
        </w:r>
        <w:r w:rsidR="00702624">
          <w:rPr>
            <w:noProof/>
            <w:webHidden/>
          </w:rPr>
          <w:instrText xml:space="preserve"> PAGEREF _Toc124917439 \h </w:instrText>
        </w:r>
        <w:r w:rsidR="00702624">
          <w:rPr>
            <w:noProof/>
            <w:webHidden/>
          </w:rPr>
        </w:r>
        <w:r w:rsidR="00702624">
          <w:rPr>
            <w:noProof/>
            <w:webHidden/>
          </w:rPr>
          <w:fldChar w:fldCharType="separate"/>
        </w:r>
        <w:r w:rsidR="006B2E7E">
          <w:rPr>
            <w:noProof/>
            <w:webHidden/>
          </w:rPr>
          <w:t>21</w:t>
        </w:r>
        <w:r w:rsidR="00702624">
          <w:rPr>
            <w:noProof/>
            <w:webHidden/>
          </w:rPr>
          <w:fldChar w:fldCharType="end"/>
        </w:r>
      </w:hyperlink>
    </w:p>
    <w:p w14:paraId="590E821C" w14:textId="4F5F44CC" w:rsidR="00702624" w:rsidRDefault="00000000">
      <w:pPr>
        <w:pStyle w:val="TOC1"/>
        <w:rPr>
          <w:rFonts w:eastAsiaTheme="minorEastAsia" w:cstheme="minorBidi"/>
          <w:b w:val="0"/>
          <w:bCs w:val="0"/>
          <w:caps w:val="0"/>
          <w:noProof/>
          <w:sz w:val="22"/>
          <w:szCs w:val="22"/>
          <w:lang w:eastAsia="en-AU"/>
        </w:rPr>
      </w:pPr>
      <w:hyperlink w:anchor="_Toc124917440" w:history="1">
        <w:r w:rsidR="00702624" w:rsidRPr="00E92928">
          <w:rPr>
            <w:rStyle w:val="Hyperlink"/>
            <w:noProof/>
          </w:rPr>
          <w:t>Appendix A: Duties of an administrator when exercising functions</w:t>
        </w:r>
        <w:r w:rsidR="00702624">
          <w:rPr>
            <w:noProof/>
            <w:webHidden/>
          </w:rPr>
          <w:tab/>
        </w:r>
        <w:r w:rsidR="00702624">
          <w:rPr>
            <w:noProof/>
            <w:webHidden/>
          </w:rPr>
          <w:fldChar w:fldCharType="begin"/>
        </w:r>
        <w:r w:rsidR="00702624">
          <w:rPr>
            <w:noProof/>
            <w:webHidden/>
          </w:rPr>
          <w:instrText xml:space="preserve"> PAGEREF _Toc124917440 \h </w:instrText>
        </w:r>
        <w:r w:rsidR="00702624">
          <w:rPr>
            <w:noProof/>
            <w:webHidden/>
          </w:rPr>
        </w:r>
        <w:r w:rsidR="00702624">
          <w:rPr>
            <w:noProof/>
            <w:webHidden/>
          </w:rPr>
          <w:fldChar w:fldCharType="separate"/>
        </w:r>
        <w:r w:rsidR="006B2E7E">
          <w:rPr>
            <w:noProof/>
            <w:webHidden/>
          </w:rPr>
          <w:t>22</w:t>
        </w:r>
        <w:r w:rsidR="00702624">
          <w:rPr>
            <w:noProof/>
            <w:webHidden/>
          </w:rPr>
          <w:fldChar w:fldCharType="end"/>
        </w:r>
      </w:hyperlink>
    </w:p>
    <w:p w14:paraId="1CA24FAE" w14:textId="4D7ACEBA" w:rsidR="00702624" w:rsidRDefault="00000000">
      <w:pPr>
        <w:pStyle w:val="TOC1"/>
        <w:rPr>
          <w:rFonts w:eastAsiaTheme="minorEastAsia" w:cstheme="minorBidi"/>
          <w:b w:val="0"/>
          <w:bCs w:val="0"/>
          <w:caps w:val="0"/>
          <w:noProof/>
          <w:sz w:val="22"/>
          <w:szCs w:val="22"/>
          <w:lang w:eastAsia="en-AU"/>
        </w:rPr>
      </w:pPr>
      <w:hyperlink w:anchor="_Toc124917441" w:history="1">
        <w:r w:rsidR="00702624" w:rsidRPr="00E92928">
          <w:rPr>
            <w:rStyle w:val="Hyperlink"/>
            <w:noProof/>
          </w:rPr>
          <w:t>Appendix B: Proposed remuneration scale</w:t>
        </w:r>
        <w:r w:rsidR="00702624">
          <w:rPr>
            <w:noProof/>
            <w:webHidden/>
          </w:rPr>
          <w:tab/>
        </w:r>
        <w:r w:rsidR="00702624">
          <w:rPr>
            <w:noProof/>
            <w:webHidden/>
          </w:rPr>
          <w:fldChar w:fldCharType="begin"/>
        </w:r>
        <w:r w:rsidR="00702624">
          <w:rPr>
            <w:noProof/>
            <w:webHidden/>
          </w:rPr>
          <w:instrText xml:space="preserve"> PAGEREF _Toc124917441 \h </w:instrText>
        </w:r>
        <w:r w:rsidR="00702624">
          <w:rPr>
            <w:noProof/>
            <w:webHidden/>
          </w:rPr>
        </w:r>
        <w:r w:rsidR="00702624">
          <w:rPr>
            <w:noProof/>
            <w:webHidden/>
          </w:rPr>
          <w:fldChar w:fldCharType="separate"/>
        </w:r>
        <w:r w:rsidR="006B2E7E">
          <w:rPr>
            <w:noProof/>
            <w:webHidden/>
          </w:rPr>
          <w:t>24</w:t>
        </w:r>
        <w:r w:rsidR="00702624">
          <w:rPr>
            <w:noProof/>
            <w:webHidden/>
          </w:rPr>
          <w:fldChar w:fldCharType="end"/>
        </w:r>
      </w:hyperlink>
    </w:p>
    <w:p w14:paraId="19D78215" w14:textId="36697A9C" w:rsidR="00702624" w:rsidRDefault="00000000">
      <w:pPr>
        <w:pStyle w:val="TOC2"/>
        <w:tabs>
          <w:tab w:val="right" w:leader="dot" w:pos="9010"/>
        </w:tabs>
        <w:rPr>
          <w:rFonts w:eastAsiaTheme="minorEastAsia" w:cstheme="minorBidi"/>
          <w:smallCaps w:val="0"/>
          <w:noProof/>
          <w:sz w:val="22"/>
          <w:szCs w:val="22"/>
          <w:lang w:eastAsia="en-AU"/>
        </w:rPr>
      </w:pPr>
      <w:hyperlink w:anchor="_Toc124917442" w:history="1">
        <w:r w:rsidR="00702624" w:rsidRPr="00E92928">
          <w:rPr>
            <w:rStyle w:val="Hyperlink"/>
            <w:noProof/>
          </w:rPr>
          <w:t>Application</w:t>
        </w:r>
        <w:r w:rsidR="00702624">
          <w:rPr>
            <w:noProof/>
            <w:webHidden/>
          </w:rPr>
          <w:tab/>
        </w:r>
        <w:r w:rsidR="00702624">
          <w:rPr>
            <w:noProof/>
            <w:webHidden/>
          </w:rPr>
          <w:fldChar w:fldCharType="begin"/>
        </w:r>
        <w:r w:rsidR="00702624">
          <w:rPr>
            <w:noProof/>
            <w:webHidden/>
          </w:rPr>
          <w:instrText xml:space="preserve"> PAGEREF _Toc124917442 \h </w:instrText>
        </w:r>
        <w:r w:rsidR="00702624">
          <w:rPr>
            <w:noProof/>
            <w:webHidden/>
          </w:rPr>
        </w:r>
        <w:r w:rsidR="00702624">
          <w:rPr>
            <w:noProof/>
            <w:webHidden/>
          </w:rPr>
          <w:fldChar w:fldCharType="separate"/>
        </w:r>
        <w:r w:rsidR="006B2E7E">
          <w:rPr>
            <w:noProof/>
            <w:webHidden/>
          </w:rPr>
          <w:t>24</w:t>
        </w:r>
        <w:r w:rsidR="00702624">
          <w:rPr>
            <w:noProof/>
            <w:webHidden/>
          </w:rPr>
          <w:fldChar w:fldCharType="end"/>
        </w:r>
      </w:hyperlink>
    </w:p>
    <w:p w14:paraId="7BA6181F" w14:textId="74D6DA1F" w:rsidR="00702624" w:rsidRDefault="00000000">
      <w:pPr>
        <w:pStyle w:val="TOC2"/>
        <w:tabs>
          <w:tab w:val="right" w:leader="dot" w:pos="9010"/>
        </w:tabs>
        <w:rPr>
          <w:rFonts w:eastAsiaTheme="minorEastAsia" w:cstheme="minorBidi"/>
          <w:smallCaps w:val="0"/>
          <w:noProof/>
          <w:sz w:val="22"/>
          <w:szCs w:val="22"/>
          <w:lang w:eastAsia="en-AU"/>
        </w:rPr>
      </w:pPr>
      <w:hyperlink w:anchor="_Toc124917443" w:history="1">
        <w:r w:rsidR="00702624" w:rsidRPr="00E92928">
          <w:rPr>
            <w:rStyle w:val="Hyperlink"/>
            <w:noProof/>
          </w:rPr>
          <w:t>Payment for acting as administrator</w:t>
        </w:r>
        <w:r w:rsidR="00702624">
          <w:rPr>
            <w:noProof/>
            <w:webHidden/>
          </w:rPr>
          <w:tab/>
        </w:r>
        <w:r w:rsidR="00702624">
          <w:rPr>
            <w:noProof/>
            <w:webHidden/>
          </w:rPr>
          <w:fldChar w:fldCharType="begin"/>
        </w:r>
        <w:r w:rsidR="00702624">
          <w:rPr>
            <w:noProof/>
            <w:webHidden/>
          </w:rPr>
          <w:instrText xml:space="preserve"> PAGEREF _Toc124917443 \h </w:instrText>
        </w:r>
        <w:r w:rsidR="00702624">
          <w:rPr>
            <w:noProof/>
            <w:webHidden/>
          </w:rPr>
        </w:r>
        <w:r w:rsidR="00702624">
          <w:rPr>
            <w:noProof/>
            <w:webHidden/>
          </w:rPr>
          <w:fldChar w:fldCharType="separate"/>
        </w:r>
        <w:r w:rsidR="006B2E7E">
          <w:rPr>
            <w:noProof/>
            <w:webHidden/>
          </w:rPr>
          <w:t>24</w:t>
        </w:r>
        <w:r w:rsidR="00702624">
          <w:rPr>
            <w:noProof/>
            <w:webHidden/>
          </w:rPr>
          <w:fldChar w:fldCharType="end"/>
        </w:r>
      </w:hyperlink>
    </w:p>
    <w:p w14:paraId="2DF85BD1" w14:textId="10BA0134" w:rsidR="00702624" w:rsidRDefault="00000000">
      <w:pPr>
        <w:pStyle w:val="TOC2"/>
        <w:tabs>
          <w:tab w:val="right" w:leader="dot" w:pos="9010"/>
        </w:tabs>
        <w:rPr>
          <w:rFonts w:eastAsiaTheme="minorEastAsia" w:cstheme="minorBidi"/>
          <w:smallCaps w:val="0"/>
          <w:noProof/>
          <w:sz w:val="22"/>
          <w:szCs w:val="22"/>
          <w:lang w:eastAsia="en-AU"/>
        </w:rPr>
      </w:pPr>
      <w:hyperlink w:anchor="_Toc124917444" w:history="1">
        <w:r w:rsidR="00702624" w:rsidRPr="00E92928">
          <w:rPr>
            <w:rStyle w:val="Hyperlink"/>
            <w:noProof/>
            <w:lang w:eastAsia="ja-JP"/>
          </w:rPr>
          <w:t>Payments not covered by this scale</w:t>
        </w:r>
        <w:r w:rsidR="00702624">
          <w:rPr>
            <w:noProof/>
            <w:webHidden/>
          </w:rPr>
          <w:tab/>
        </w:r>
        <w:r w:rsidR="00702624">
          <w:rPr>
            <w:noProof/>
            <w:webHidden/>
          </w:rPr>
          <w:fldChar w:fldCharType="begin"/>
        </w:r>
        <w:r w:rsidR="00702624">
          <w:rPr>
            <w:noProof/>
            <w:webHidden/>
          </w:rPr>
          <w:instrText xml:space="preserve"> PAGEREF _Toc124917444 \h </w:instrText>
        </w:r>
        <w:r w:rsidR="00702624">
          <w:rPr>
            <w:noProof/>
            <w:webHidden/>
          </w:rPr>
        </w:r>
        <w:r w:rsidR="00702624">
          <w:rPr>
            <w:noProof/>
            <w:webHidden/>
          </w:rPr>
          <w:fldChar w:fldCharType="separate"/>
        </w:r>
        <w:r w:rsidR="006B2E7E">
          <w:rPr>
            <w:noProof/>
            <w:webHidden/>
          </w:rPr>
          <w:t>26</w:t>
        </w:r>
        <w:r w:rsidR="00702624">
          <w:rPr>
            <w:noProof/>
            <w:webHidden/>
          </w:rPr>
          <w:fldChar w:fldCharType="end"/>
        </w:r>
      </w:hyperlink>
    </w:p>
    <w:p w14:paraId="2BE732D3" w14:textId="331093E7" w:rsidR="00702624" w:rsidRDefault="00000000">
      <w:pPr>
        <w:pStyle w:val="TOC2"/>
        <w:tabs>
          <w:tab w:val="right" w:leader="dot" w:pos="9010"/>
        </w:tabs>
        <w:rPr>
          <w:rFonts w:eastAsiaTheme="minorEastAsia" w:cstheme="minorBidi"/>
          <w:smallCaps w:val="0"/>
          <w:noProof/>
          <w:sz w:val="22"/>
          <w:szCs w:val="22"/>
          <w:lang w:eastAsia="en-AU"/>
        </w:rPr>
      </w:pPr>
      <w:hyperlink w:anchor="_Toc124917445" w:history="1">
        <w:r w:rsidR="00702624" w:rsidRPr="00E92928">
          <w:rPr>
            <w:rStyle w:val="Hyperlink"/>
            <w:noProof/>
            <w:lang w:eastAsia="ja-JP"/>
          </w:rPr>
          <w:t>Transitional</w:t>
        </w:r>
        <w:r w:rsidR="00702624">
          <w:rPr>
            <w:noProof/>
            <w:webHidden/>
          </w:rPr>
          <w:tab/>
        </w:r>
        <w:r w:rsidR="00702624">
          <w:rPr>
            <w:noProof/>
            <w:webHidden/>
          </w:rPr>
          <w:fldChar w:fldCharType="begin"/>
        </w:r>
        <w:r w:rsidR="00702624">
          <w:rPr>
            <w:noProof/>
            <w:webHidden/>
          </w:rPr>
          <w:instrText xml:space="preserve"> PAGEREF _Toc124917445 \h </w:instrText>
        </w:r>
        <w:r w:rsidR="00702624">
          <w:rPr>
            <w:noProof/>
            <w:webHidden/>
          </w:rPr>
        </w:r>
        <w:r w:rsidR="00702624">
          <w:rPr>
            <w:noProof/>
            <w:webHidden/>
          </w:rPr>
          <w:fldChar w:fldCharType="separate"/>
        </w:r>
        <w:r w:rsidR="006B2E7E">
          <w:rPr>
            <w:noProof/>
            <w:webHidden/>
          </w:rPr>
          <w:t>27</w:t>
        </w:r>
        <w:r w:rsidR="00702624">
          <w:rPr>
            <w:noProof/>
            <w:webHidden/>
          </w:rPr>
          <w:fldChar w:fldCharType="end"/>
        </w:r>
      </w:hyperlink>
    </w:p>
    <w:p w14:paraId="5F959095" w14:textId="08858B30" w:rsidR="00702624" w:rsidRDefault="00000000">
      <w:pPr>
        <w:pStyle w:val="TOC1"/>
        <w:rPr>
          <w:rFonts w:eastAsiaTheme="minorEastAsia" w:cstheme="minorBidi"/>
          <w:b w:val="0"/>
          <w:bCs w:val="0"/>
          <w:caps w:val="0"/>
          <w:noProof/>
          <w:sz w:val="22"/>
          <w:szCs w:val="22"/>
          <w:lang w:eastAsia="en-AU"/>
        </w:rPr>
      </w:pPr>
      <w:hyperlink w:anchor="_Toc124917446" w:history="1">
        <w:r w:rsidR="00702624" w:rsidRPr="00E92928">
          <w:rPr>
            <w:rStyle w:val="Hyperlink"/>
            <w:noProof/>
          </w:rPr>
          <w:t>Appendix C: Remuneration of administrators in other Australian jurisdictions</w:t>
        </w:r>
        <w:r w:rsidR="00702624">
          <w:rPr>
            <w:noProof/>
            <w:webHidden/>
          </w:rPr>
          <w:tab/>
        </w:r>
        <w:r w:rsidR="00702624">
          <w:rPr>
            <w:noProof/>
            <w:webHidden/>
          </w:rPr>
          <w:fldChar w:fldCharType="begin"/>
        </w:r>
        <w:r w:rsidR="00702624">
          <w:rPr>
            <w:noProof/>
            <w:webHidden/>
          </w:rPr>
          <w:instrText xml:space="preserve"> PAGEREF _Toc124917446 \h </w:instrText>
        </w:r>
        <w:r w:rsidR="00702624">
          <w:rPr>
            <w:noProof/>
            <w:webHidden/>
          </w:rPr>
        </w:r>
        <w:r w:rsidR="00702624">
          <w:rPr>
            <w:noProof/>
            <w:webHidden/>
          </w:rPr>
          <w:fldChar w:fldCharType="separate"/>
        </w:r>
        <w:r w:rsidR="006B2E7E">
          <w:rPr>
            <w:noProof/>
            <w:webHidden/>
          </w:rPr>
          <w:t>28</w:t>
        </w:r>
        <w:r w:rsidR="00702624">
          <w:rPr>
            <w:noProof/>
            <w:webHidden/>
          </w:rPr>
          <w:fldChar w:fldCharType="end"/>
        </w:r>
      </w:hyperlink>
    </w:p>
    <w:p w14:paraId="1AC009EC" w14:textId="152243CE" w:rsidR="000D48AC" w:rsidRDefault="00954187" w:rsidP="007919B6">
      <w:pPr>
        <w:pStyle w:val="TOC1"/>
      </w:pPr>
      <w:r>
        <w:fldChar w:fldCharType="end"/>
      </w:r>
    </w:p>
    <w:p w14:paraId="0E0D4E15" w14:textId="77777777" w:rsidR="00954187" w:rsidRDefault="00954187" w:rsidP="000D48AC">
      <w:pPr>
        <w:sectPr w:rsidR="00954187" w:rsidSect="00954187">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pgNumType w:fmt="lowerRoman"/>
          <w:cols w:space="708"/>
          <w:titlePg/>
          <w:docGrid w:linePitch="360"/>
        </w:sectPr>
      </w:pPr>
    </w:p>
    <w:p w14:paraId="047BDE59" w14:textId="4F8B1762" w:rsidR="00627DCF" w:rsidRDefault="008B7D2F" w:rsidP="001319A6">
      <w:pPr>
        <w:pStyle w:val="Heading1"/>
        <w:numPr>
          <w:ilvl w:val="0"/>
          <w:numId w:val="0"/>
        </w:numPr>
        <w:ind w:left="709" w:hanging="709"/>
      </w:pPr>
      <w:bookmarkStart w:id="11" w:name="_Toc117064487"/>
      <w:bookmarkStart w:id="12" w:name="_Toc115704173"/>
      <w:bookmarkStart w:id="13" w:name="_Toc124917417"/>
      <w:r>
        <w:lastRenderedPageBreak/>
        <w:t>Overview</w:t>
      </w:r>
      <w:bookmarkEnd w:id="11"/>
      <w:bookmarkEnd w:id="12"/>
      <w:bookmarkEnd w:id="13"/>
    </w:p>
    <w:p w14:paraId="0707CF16" w14:textId="3FA80588" w:rsidR="009D16A5" w:rsidRPr="009D16A5" w:rsidRDefault="009D16A5">
      <w:pPr>
        <w:spacing w:after="120" w:line="240" w:lineRule="auto"/>
      </w:pPr>
      <w:r w:rsidRPr="009D16A5">
        <w:t xml:space="preserve">The purpose of this </w:t>
      </w:r>
      <w:r>
        <w:t xml:space="preserve">paper is to inform </w:t>
      </w:r>
      <w:r w:rsidR="00AC7BC1">
        <w:t xml:space="preserve">stakeholders of the </w:t>
      </w:r>
      <w:r>
        <w:t>Victorian Civil and Administrative Tribunal</w:t>
      </w:r>
      <w:r w:rsidR="007903F2">
        <w:t>’s</w:t>
      </w:r>
      <w:r>
        <w:t xml:space="preserve"> (VCAT) </w:t>
      </w:r>
      <w:r w:rsidR="007903F2">
        <w:t xml:space="preserve">consideration of </w:t>
      </w:r>
      <w:r w:rsidRPr="009D16A5">
        <w:t xml:space="preserve">a </w:t>
      </w:r>
      <w:r w:rsidR="007903F2">
        <w:t xml:space="preserve">new </w:t>
      </w:r>
      <w:r w:rsidRPr="009D16A5">
        <w:t xml:space="preserve">remuneration scale for </w:t>
      </w:r>
      <w:r w:rsidR="00DC6354">
        <w:t xml:space="preserve">professional </w:t>
      </w:r>
      <w:r w:rsidRPr="009D16A5">
        <w:t xml:space="preserve">administrators appointed under the </w:t>
      </w:r>
      <w:r w:rsidRPr="009D16A5">
        <w:rPr>
          <w:i/>
          <w:iCs/>
          <w:lang w:eastAsia="ja-JP"/>
        </w:rPr>
        <w:t>Guardianship and Administration Act 2019</w:t>
      </w:r>
      <w:r w:rsidR="00805777">
        <w:rPr>
          <w:lang w:eastAsia="ja-JP"/>
        </w:rPr>
        <w:t xml:space="preserve"> (GAA)</w:t>
      </w:r>
      <w:r>
        <w:rPr>
          <w:lang w:eastAsia="ja-JP"/>
        </w:rPr>
        <w:t>.</w:t>
      </w:r>
    </w:p>
    <w:p w14:paraId="68BE049A" w14:textId="65024258" w:rsidR="00805777" w:rsidRDefault="00805777" w:rsidP="00805777">
      <w:r>
        <w:rPr>
          <w:lang w:eastAsia="ja-JP"/>
        </w:rPr>
        <w:t xml:space="preserve">The ability for VCAT to fix a scale of remuneration for </w:t>
      </w:r>
      <w:r w:rsidR="00BF38BC">
        <w:rPr>
          <w:lang w:eastAsia="ja-JP"/>
        </w:rPr>
        <w:t xml:space="preserve">professional </w:t>
      </w:r>
      <w:r>
        <w:rPr>
          <w:lang w:eastAsia="ja-JP"/>
        </w:rPr>
        <w:t xml:space="preserve">administrators is a power </w:t>
      </w:r>
      <w:r w:rsidR="007364EC">
        <w:rPr>
          <w:lang w:eastAsia="ja-JP"/>
        </w:rPr>
        <w:t>provided</w:t>
      </w:r>
      <w:r w:rsidR="00A877A6">
        <w:rPr>
          <w:lang w:eastAsia="ja-JP"/>
        </w:rPr>
        <w:t xml:space="preserve"> </w:t>
      </w:r>
      <w:r>
        <w:rPr>
          <w:lang w:eastAsia="ja-JP"/>
        </w:rPr>
        <w:t xml:space="preserve">under the GAA. The predecessor to the GAA required VCAT to approve the remuneration of each administrator under each order. </w:t>
      </w:r>
      <w:r w:rsidR="004C6376">
        <w:rPr>
          <w:lang w:eastAsia="ja-JP"/>
        </w:rPr>
        <w:t>However</w:t>
      </w:r>
      <w:r w:rsidR="00EA3131">
        <w:rPr>
          <w:lang w:eastAsia="ja-JP"/>
        </w:rPr>
        <w:t>,</w:t>
      </w:r>
      <w:r w:rsidR="004C6376">
        <w:rPr>
          <w:lang w:eastAsia="ja-JP"/>
        </w:rPr>
        <w:t xml:space="preserve"> t</w:t>
      </w:r>
      <w:r>
        <w:rPr>
          <w:lang w:eastAsia="ja-JP"/>
        </w:rPr>
        <w:t>o date, VCAT has not determined a scale of remuneration for administrators</w:t>
      </w:r>
      <w:r w:rsidR="004C6376">
        <w:rPr>
          <w:lang w:eastAsia="ja-JP"/>
        </w:rPr>
        <w:t xml:space="preserve"> and continues to </w:t>
      </w:r>
      <w:r w:rsidR="009B20C9">
        <w:rPr>
          <w:lang w:eastAsia="ja-JP"/>
        </w:rPr>
        <w:t>approve remuneration on a case</w:t>
      </w:r>
      <w:r w:rsidR="00EA3131">
        <w:rPr>
          <w:lang w:eastAsia="ja-JP"/>
        </w:rPr>
        <w:t>-</w:t>
      </w:r>
      <w:r w:rsidR="009B20C9">
        <w:rPr>
          <w:lang w:eastAsia="ja-JP"/>
        </w:rPr>
        <w:t>by</w:t>
      </w:r>
      <w:r w:rsidR="00EA3131">
        <w:rPr>
          <w:lang w:eastAsia="ja-JP"/>
        </w:rPr>
        <w:t>-</w:t>
      </w:r>
      <w:r w:rsidR="009B20C9">
        <w:rPr>
          <w:lang w:eastAsia="ja-JP"/>
        </w:rPr>
        <w:t>case basis</w:t>
      </w:r>
      <w:r>
        <w:rPr>
          <w:lang w:eastAsia="ja-JP"/>
        </w:rPr>
        <w:t>.</w:t>
      </w:r>
    </w:p>
    <w:p w14:paraId="079AE6D6" w14:textId="140CAC09" w:rsidR="009D16A5" w:rsidRDefault="00B364A8">
      <w:pPr>
        <w:spacing w:after="120" w:line="240" w:lineRule="auto"/>
      </w:pPr>
      <w:r>
        <w:t>Analysis commissioned by VCAT</w:t>
      </w:r>
      <w:r w:rsidR="003C218C">
        <w:t>—</w:t>
      </w:r>
      <w:r w:rsidR="00037147">
        <w:t xml:space="preserve">which </w:t>
      </w:r>
      <w:r w:rsidR="00322960">
        <w:t>includ</w:t>
      </w:r>
      <w:r w:rsidR="00037147">
        <w:t>ed</w:t>
      </w:r>
      <w:r w:rsidR="007903F2">
        <w:t xml:space="preserve"> </w:t>
      </w:r>
      <w:r w:rsidR="00AC7BC1">
        <w:t xml:space="preserve">a </w:t>
      </w:r>
      <w:r w:rsidR="007903F2">
        <w:t>detailed e</w:t>
      </w:r>
      <w:r w:rsidR="009D16A5" w:rsidRPr="009D16A5">
        <w:t xml:space="preserve">xamination of the </w:t>
      </w:r>
      <w:r w:rsidR="009D16A5">
        <w:t xml:space="preserve">current arrangements, </w:t>
      </w:r>
      <w:r w:rsidR="007903F2">
        <w:t xml:space="preserve">along with </w:t>
      </w:r>
      <w:r w:rsidR="009D16A5">
        <w:t>stakeholder consultation</w:t>
      </w:r>
      <w:r w:rsidR="000C55B0">
        <w:t xml:space="preserve"> </w:t>
      </w:r>
      <w:r w:rsidR="00AC7BC1">
        <w:t xml:space="preserve">(law firms, trustee </w:t>
      </w:r>
      <w:r w:rsidR="000C55B0">
        <w:t>firm</w:t>
      </w:r>
      <w:r w:rsidR="00FA14A2">
        <w:t>s</w:t>
      </w:r>
      <w:r w:rsidR="00DC6354">
        <w:t>, and accountants</w:t>
      </w:r>
      <w:r w:rsidR="00AC7BC1">
        <w:t>)</w:t>
      </w:r>
      <w:r w:rsidR="009D16A5">
        <w:t>, benchmarking against other jurisdictions</w:t>
      </w:r>
      <w:r w:rsidR="00B06541">
        <w:t xml:space="preserve"> and service providers</w:t>
      </w:r>
      <w:r w:rsidR="009D16A5">
        <w:t>, and consideration of best-practice fee setting principles</w:t>
      </w:r>
      <w:r w:rsidR="003C218C">
        <w:t>—</w:t>
      </w:r>
      <w:r w:rsidR="009D16A5">
        <w:t xml:space="preserve">has resulted in a </w:t>
      </w:r>
      <w:r w:rsidR="00286CFB">
        <w:t xml:space="preserve">proposed </w:t>
      </w:r>
      <w:r w:rsidR="009D16A5" w:rsidRPr="009D16A5">
        <w:t>remuneration scale for administrators</w:t>
      </w:r>
      <w:r w:rsidR="00AC7BC1">
        <w:t>.</w:t>
      </w:r>
    </w:p>
    <w:p w14:paraId="453080F4" w14:textId="6F223F98" w:rsidR="00702624" w:rsidRPr="009D16A5" w:rsidRDefault="00250F95" w:rsidP="00250F95">
      <w:r>
        <w:t>The analysis</w:t>
      </w:r>
      <w:r w:rsidR="00702624">
        <w:t xml:space="preserve"> </w:t>
      </w:r>
      <w:r>
        <w:t>of the current framework, examination of case</w:t>
      </w:r>
      <w:r w:rsidR="006B2E7E">
        <w:t>s</w:t>
      </w:r>
      <w:r>
        <w:t xml:space="preserve">, and consultation found that </w:t>
      </w:r>
      <w:r>
        <w:rPr>
          <w:lang w:eastAsia="ja-JP"/>
        </w:rPr>
        <w:t>the current arrangements are</w:t>
      </w:r>
      <w:r w:rsidR="00FC315A">
        <w:rPr>
          <w:lang w:eastAsia="ja-JP"/>
        </w:rPr>
        <w:t xml:space="preserve"> complex,</w:t>
      </w:r>
      <w:r>
        <w:rPr>
          <w:lang w:eastAsia="ja-JP"/>
        </w:rPr>
        <w:t xml:space="preserve"> not transparent</w:t>
      </w:r>
      <w:r w:rsidR="00650052">
        <w:rPr>
          <w:lang w:eastAsia="ja-JP"/>
        </w:rPr>
        <w:t>, and do not ensure accessibility and fairness for</w:t>
      </w:r>
      <w:r>
        <w:rPr>
          <w:lang w:eastAsia="ja-JP"/>
        </w:rPr>
        <w:t xml:space="preserve"> those persons whose interests should be at the forefront.</w:t>
      </w:r>
    </w:p>
    <w:p w14:paraId="0CA78CAB" w14:textId="298E395A" w:rsidR="009D16A5" w:rsidRPr="00FB4CF4" w:rsidRDefault="009D16A5">
      <w:pPr>
        <w:spacing w:after="120" w:line="240" w:lineRule="auto"/>
        <w:rPr>
          <w:i/>
          <w:iCs/>
        </w:rPr>
      </w:pPr>
      <w:r w:rsidRPr="009D16A5">
        <w:t>The p</w:t>
      </w:r>
      <w:r>
        <w:t xml:space="preserve">roposed </w:t>
      </w:r>
      <w:r w:rsidRPr="009D16A5">
        <w:t xml:space="preserve">remuneration scale </w:t>
      </w:r>
      <w:r w:rsidR="00AC7BC1">
        <w:t xml:space="preserve">(see below) </w:t>
      </w:r>
      <w:r>
        <w:t xml:space="preserve">significantly simplifies the </w:t>
      </w:r>
      <w:r w:rsidR="007903F2">
        <w:t xml:space="preserve">current </w:t>
      </w:r>
      <w:r>
        <w:t xml:space="preserve">arrangements </w:t>
      </w:r>
      <w:r w:rsidR="00BD2FE7">
        <w:t xml:space="preserve">for legal practitioners </w:t>
      </w:r>
      <w:r w:rsidR="00DC6354">
        <w:t>under</w:t>
      </w:r>
      <w:r>
        <w:t xml:space="preserve"> the </w:t>
      </w:r>
      <w:r w:rsidR="00AC7BC1">
        <w:t>Practitioner</w:t>
      </w:r>
      <w:r w:rsidR="00AC7BC1" w:rsidRPr="007F53D7">
        <w:t xml:space="preserve"> </w:t>
      </w:r>
      <w:r w:rsidRPr="007F53D7">
        <w:t xml:space="preserve">Remuneration Order </w:t>
      </w:r>
      <w:r>
        <w:t>(PRO) made under</w:t>
      </w:r>
      <w:r w:rsidRPr="007F53D7">
        <w:t xml:space="preserve"> the </w:t>
      </w:r>
      <w:r w:rsidRPr="009D16A5">
        <w:rPr>
          <w:i/>
          <w:iCs/>
        </w:rPr>
        <w:t>Legal Profession Uniform Law Application Act 2014</w:t>
      </w:r>
      <w:r w:rsidR="00FC315A">
        <w:rPr>
          <w:i/>
          <w:iCs/>
        </w:rPr>
        <w:t xml:space="preserve">. </w:t>
      </w:r>
      <w:r w:rsidR="00FC315A">
        <w:t xml:space="preserve">In terms of other professional </w:t>
      </w:r>
      <w:r w:rsidR="004D7E56" w:rsidRPr="00EA1AF7">
        <w:t>administrators</w:t>
      </w:r>
      <w:r w:rsidR="00FC6B53">
        <w:rPr>
          <w:i/>
          <w:iCs/>
        </w:rPr>
        <w:t xml:space="preserve"> </w:t>
      </w:r>
      <w:r w:rsidR="00D40225" w:rsidRPr="006F4742">
        <w:t>that are not legal professionals</w:t>
      </w:r>
      <w:r w:rsidR="00D40225">
        <w:t xml:space="preserve"> (such as accountants) </w:t>
      </w:r>
      <w:r w:rsidR="00D51D08" w:rsidRPr="00703B99">
        <w:t xml:space="preserve">the </w:t>
      </w:r>
      <w:r w:rsidR="00FC315A">
        <w:t xml:space="preserve">current </w:t>
      </w:r>
      <w:r w:rsidR="00D51D08" w:rsidRPr="00703B99">
        <w:t>remuneration orders</w:t>
      </w:r>
      <w:r w:rsidR="00B61548" w:rsidRPr="00703B99">
        <w:t xml:space="preserve"> </w:t>
      </w:r>
      <w:r w:rsidR="004D7E56">
        <w:t>provide ad-hoc, inconsistent approaches to and rates of remuneration</w:t>
      </w:r>
      <w:r w:rsidR="00B61548" w:rsidRPr="00703B99">
        <w:t>.</w:t>
      </w:r>
    </w:p>
    <w:p w14:paraId="5D22ACD6" w14:textId="26B6DA8C" w:rsidR="007903F2" w:rsidRDefault="007903F2" w:rsidP="00506F9F">
      <w:pPr>
        <w:spacing w:before="120" w:after="120" w:line="240" w:lineRule="auto"/>
        <w:rPr>
          <w:lang w:eastAsia="ja-JP"/>
        </w:rPr>
      </w:pPr>
      <w:r>
        <w:t xml:space="preserve">The proposed </w:t>
      </w:r>
      <w:r w:rsidRPr="009D16A5">
        <w:t xml:space="preserve">remuneration scale for </w:t>
      </w:r>
      <w:r w:rsidR="004D7E56">
        <w:t xml:space="preserve">professional </w:t>
      </w:r>
      <w:r w:rsidRPr="009D16A5">
        <w:t>administrators</w:t>
      </w:r>
      <w:r>
        <w:t xml:space="preserve"> seeks to balance the </w:t>
      </w:r>
      <w:r w:rsidR="00853F0D">
        <w:t xml:space="preserve">best interests and </w:t>
      </w:r>
      <w:r>
        <w:t>need</w:t>
      </w:r>
      <w:r w:rsidR="00805777">
        <w:t>s</w:t>
      </w:r>
      <w:r>
        <w:t xml:space="preserve"> </w:t>
      </w:r>
      <w:r w:rsidR="00805777">
        <w:t xml:space="preserve">of </w:t>
      </w:r>
      <w:r>
        <w:t>represented person</w:t>
      </w:r>
      <w:r w:rsidR="00DC6354">
        <w:t>s</w:t>
      </w:r>
      <w:r>
        <w:t xml:space="preserve"> </w:t>
      </w:r>
      <w:r w:rsidR="00805777">
        <w:t>with</w:t>
      </w:r>
      <w:r>
        <w:t xml:space="preserve"> fair remuneration for </w:t>
      </w:r>
      <w:r w:rsidRPr="009D16A5">
        <w:t xml:space="preserve">administrators appointed </w:t>
      </w:r>
      <w:r w:rsidR="00805777">
        <w:t xml:space="preserve">by VCAT </w:t>
      </w:r>
      <w:r w:rsidRPr="009D16A5">
        <w:t xml:space="preserve">under the </w:t>
      </w:r>
      <w:r w:rsidRPr="009D16A5">
        <w:rPr>
          <w:i/>
          <w:iCs/>
          <w:lang w:eastAsia="ja-JP"/>
        </w:rPr>
        <w:t>Guardianship and Administration Act 2019</w:t>
      </w:r>
      <w:r>
        <w:rPr>
          <w:lang w:eastAsia="ja-JP"/>
        </w:rPr>
        <w:t>.</w:t>
      </w:r>
      <w:r w:rsidR="00805777">
        <w:rPr>
          <w:lang w:eastAsia="ja-JP"/>
        </w:rPr>
        <w:t xml:space="preserve"> The proposed remuneration scale also seeks to improve transparency</w:t>
      </w:r>
      <w:r w:rsidR="00506F9F">
        <w:rPr>
          <w:lang w:eastAsia="ja-JP"/>
        </w:rPr>
        <w:t xml:space="preserve"> and cost effectiveness</w:t>
      </w:r>
      <w:r w:rsidR="00805777">
        <w:rPr>
          <w:lang w:eastAsia="ja-JP"/>
        </w:rPr>
        <w:t>.</w:t>
      </w:r>
    </w:p>
    <w:tbl>
      <w:tblPr>
        <w:tblStyle w:val="TableGrid"/>
        <w:tblW w:w="0" w:type="auto"/>
        <w:tblLook w:val="04A0" w:firstRow="1" w:lastRow="0" w:firstColumn="1" w:lastColumn="0" w:noHBand="0" w:noVBand="1"/>
      </w:tblPr>
      <w:tblGrid>
        <w:gridCol w:w="9010"/>
      </w:tblGrid>
      <w:tr w:rsidR="00805777" w14:paraId="19F78D43" w14:textId="77777777" w:rsidTr="000E30DC">
        <w:trPr>
          <w:cnfStyle w:val="100000000000" w:firstRow="1" w:lastRow="0" w:firstColumn="0" w:lastColumn="0" w:oddVBand="0" w:evenVBand="0" w:oddHBand="0" w:evenHBand="0" w:firstRowFirstColumn="0" w:firstRowLastColumn="0" w:lastRowFirstColumn="0" w:lastRowLastColumn="0"/>
          <w:trHeight w:val="841"/>
        </w:trPr>
        <w:tc>
          <w:tcPr>
            <w:tcW w:w="9010" w:type="dxa"/>
          </w:tcPr>
          <w:p w14:paraId="6F026EC3" w14:textId="5BE0E733" w:rsidR="00805777" w:rsidRPr="00805777" w:rsidRDefault="00805777" w:rsidP="00B06541">
            <w:pPr>
              <w:spacing w:before="120" w:after="0" w:line="240" w:lineRule="auto"/>
              <w:rPr>
                <w:b/>
                <w:bCs/>
              </w:rPr>
            </w:pPr>
            <w:r w:rsidRPr="00805777">
              <w:rPr>
                <w:b/>
                <w:bCs/>
              </w:rPr>
              <w:t>Key features of the proposed remuneration scale</w:t>
            </w:r>
            <w:r w:rsidR="00A41164">
              <w:rPr>
                <w:b/>
                <w:bCs/>
              </w:rPr>
              <w:t>:</w:t>
            </w:r>
          </w:p>
          <w:p w14:paraId="07399AD5" w14:textId="17E4CA8B" w:rsidR="009C73E5" w:rsidRDefault="009C73E5" w:rsidP="00B06541">
            <w:pPr>
              <w:pStyle w:val="ListParagraph"/>
              <w:numPr>
                <w:ilvl w:val="0"/>
                <w:numId w:val="41"/>
              </w:numPr>
              <w:spacing w:before="120" w:after="0"/>
              <w:ind w:left="313"/>
            </w:pPr>
            <w:r w:rsidRPr="009C73E5">
              <w:t>The proposed</w:t>
            </w:r>
            <w:r>
              <w:t xml:space="preserve"> remuneration scale </w:t>
            </w:r>
            <w:r w:rsidR="006537D3">
              <w:t xml:space="preserve">would </w:t>
            </w:r>
            <w:r>
              <w:t>appl</w:t>
            </w:r>
            <w:r w:rsidR="006537D3">
              <w:t>y</w:t>
            </w:r>
            <w:r>
              <w:t xml:space="preserve"> to professional administrators </w:t>
            </w:r>
            <w:r w:rsidRPr="009D16A5">
              <w:t xml:space="preserve">appointed under the </w:t>
            </w:r>
            <w:r w:rsidRPr="009D16A5">
              <w:rPr>
                <w:i/>
                <w:iCs/>
                <w:lang w:eastAsia="ja-JP"/>
              </w:rPr>
              <w:t>Guardianship and Administration Act 2019</w:t>
            </w:r>
            <w:r>
              <w:rPr>
                <w:i/>
                <w:iCs/>
                <w:lang w:eastAsia="ja-JP"/>
              </w:rPr>
              <w:t xml:space="preserve"> </w:t>
            </w:r>
            <w:r w:rsidRPr="00703B99">
              <w:rPr>
                <w:lang w:eastAsia="ja-JP"/>
              </w:rPr>
              <w:t xml:space="preserve">who </w:t>
            </w:r>
            <w:r>
              <w:rPr>
                <w:lang w:eastAsia="ja-JP"/>
              </w:rPr>
              <w:t>are</w:t>
            </w:r>
            <w:r w:rsidRPr="00703B99">
              <w:rPr>
                <w:lang w:eastAsia="ja-JP"/>
              </w:rPr>
              <w:t xml:space="preserve"> entitled to be remunerated for their work as </w:t>
            </w:r>
            <w:r w:rsidR="00543F77">
              <w:rPr>
                <w:lang w:eastAsia="ja-JP"/>
              </w:rPr>
              <w:t xml:space="preserve">an </w:t>
            </w:r>
            <w:r w:rsidRPr="00947776">
              <w:rPr>
                <w:lang w:eastAsia="ja-JP"/>
              </w:rPr>
              <w:t>administrato</w:t>
            </w:r>
            <w:r>
              <w:rPr>
                <w:lang w:eastAsia="ja-JP"/>
              </w:rPr>
              <w:t xml:space="preserve">r. This scale </w:t>
            </w:r>
            <w:r w:rsidR="006537D3">
              <w:rPr>
                <w:lang w:eastAsia="ja-JP"/>
              </w:rPr>
              <w:t xml:space="preserve">would </w:t>
            </w:r>
            <w:r>
              <w:rPr>
                <w:lang w:eastAsia="ja-JP"/>
              </w:rPr>
              <w:t>not apply to State Trustees Limited or licensed trustee companies.</w:t>
            </w:r>
          </w:p>
          <w:p w14:paraId="265CEBF0" w14:textId="113726A2" w:rsidR="009C73E5" w:rsidRPr="009C73E5" w:rsidRDefault="009C73E5" w:rsidP="00B06541">
            <w:pPr>
              <w:pStyle w:val="ListParagraph"/>
              <w:numPr>
                <w:ilvl w:val="0"/>
                <w:numId w:val="41"/>
              </w:numPr>
              <w:spacing w:before="120" w:after="0"/>
              <w:ind w:left="313"/>
            </w:pPr>
            <w:r>
              <w:t xml:space="preserve">The proposed remuneration scale would </w:t>
            </w:r>
            <w:r w:rsidR="000911C0">
              <w:t xml:space="preserve">apply </w:t>
            </w:r>
            <w:r w:rsidR="00F664EF">
              <w:t xml:space="preserve">as </w:t>
            </w:r>
            <w:r>
              <w:t xml:space="preserve">a </w:t>
            </w:r>
            <w:r w:rsidR="001B6CD8">
              <w:t>default. That is, it would apply</w:t>
            </w:r>
            <w:r w:rsidR="002A67A1">
              <w:t xml:space="preserve"> to </w:t>
            </w:r>
            <w:r w:rsidR="00B078BF">
              <w:t xml:space="preserve">all </w:t>
            </w:r>
            <w:r w:rsidR="002A67A1">
              <w:t xml:space="preserve">administration orders that have a professional </w:t>
            </w:r>
            <w:r w:rsidR="000911C0">
              <w:t>administrator</w:t>
            </w:r>
            <w:r w:rsidR="002A67A1">
              <w:t xml:space="preserve">, unless </w:t>
            </w:r>
            <w:r>
              <w:t xml:space="preserve">VCAT </w:t>
            </w:r>
            <w:r w:rsidR="002A67A1">
              <w:t xml:space="preserve">uses its power to </w:t>
            </w:r>
            <w:r>
              <w:t>order different remuneration if it is appropriate to do so.</w:t>
            </w:r>
          </w:p>
          <w:p w14:paraId="467B71EA" w14:textId="71BD76AE" w:rsidR="001D058A" w:rsidRDefault="000911C0" w:rsidP="00937AEC">
            <w:pPr>
              <w:pStyle w:val="ListParagraph"/>
              <w:numPr>
                <w:ilvl w:val="0"/>
                <w:numId w:val="41"/>
              </w:numPr>
              <w:spacing w:before="120" w:after="0"/>
              <w:ind w:left="306"/>
            </w:pPr>
            <w:r>
              <w:t xml:space="preserve">The </w:t>
            </w:r>
            <w:r w:rsidR="00B078BF">
              <w:t>proposed remuneration is</w:t>
            </w:r>
            <w:r w:rsidR="00937AEC">
              <w:t>:</w:t>
            </w:r>
            <w:r w:rsidR="00B078BF">
              <w:t xml:space="preserve"> </w:t>
            </w:r>
            <w:r w:rsidR="001D058A" w:rsidRPr="007919B6">
              <w:t>$</w:t>
            </w:r>
            <w:r w:rsidR="001F08AD" w:rsidRPr="007919B6">
              <w:t>300</w:t>
            </w:r>
            <w:r w:rsidR="001D058A" w:rsidRPr="007919B6">
              <w:t xml:space="preserve"> per hour</w:t>
            </w:r>
            <w:r w:rsidR="001D058A" w:rsidRPr="00937AEC">
              <w:rPr>
                <w:b/>
                <w:bCs/>
              </w:rPr>
              <w:t xml:space="preserve"> </w:t>
            </w:r>
            <w:r w:rsidR="001D058A">
              <w:t xml:space="preserve">for </w:t>
            </w:r>
            <w:r w:rsidR="00EF0CA1">
              <w:t xml:space="preserve">specified </w:t>
            </w:r>
            <w:r w:rsidR="001D058A">
              <w:t>tasks</w:t>
            </w:r>
            <w:r w:rsidR="00D47454">
              <w:t xml:space="preserve"> that are generally </w:t>
            </w:r>
            <w:r w:rsidR="001B31E6">
              <w:t xml:space="preserve">required to be </w:t>
            </w:r>
            <w:r w:rsidR="00D47454">
              <w:t xml:space="preserve">carried out by the </w:t>
            </w:r>
            <w:r w:rsidR="001B31E6">
              <w:t>administrator</w:t>
            </w:r>
            <w:r w:rsidR="00D47454">
              <w:t xml:space="preserve"> personally or </w:t>
            </w:r>
            <w:r w:rsidR="005D2670">
              <w:t xml:space="preserve">require </w:t>
            </w:r>
            <w:r w:rsidR="005D2670">
              <w:rPr>
                <w:lang w:eastAsia="ja-JP"/>
              </w:rPr>
              <w:t>particular skill</w:t>
            </w:r>
            <w:r w:rsidR="00937AEC">
              <w:rPr>
                <w:lang w:eastAsia="ja-JP"/>
              </w:rPr>
              <w:t>s</w:t>
            </w:r>
            <w:r w:rsidR="005D2670">
              <w:rPr>
                <w:lang w:eastAsia="ja-JP"/>
              </w:rPr>
              <w:t xml:space="preserve"> expected to be performed by the administrator themselves</w:t>
            </w:r>
            <w:r w:rsidR="00937AEC">
              <w:rPr>
                <w:lang w:eastAsia="ja-JP"/>
              </w:rPr>
              <w:t xml:space="preserve">; and </w:t>
            </w:r>
            <w:r w:rsidR="001D058A" w:rsidRPr="007919B6">
              <w:t>$100 per hour</w:t>
            </w:r>
            <w:r w:rsidR="001D058A" w:rsidRPr="00937AEC">
              <w:rPr>
                <w:b/>
                <w:bCs/>
              </w:rPr>
              <w:t xml:space="preserve"> </w:t>
            </w:r>
            <w:r w:rsidR="001D058A">
              <w:t xml:space="preserve">for </w:t>
            </w:r>
            <w:r w:rsidR="001B31E6">
              <w:t xml:space="preserve">other </w:t>
            </w:r>
            <w:r w:rsidR="001D058A">
              <w:t>administrat</w:t>
            </w:r>
            <w:r w:rsidR="001B31E6">
              <w:t>ion</w:t>
            </w:r>
            <w:r w:rsidR="001D058A">
              <w:t xml:space="preserve"> tasks</w:t>
            </w:r>
            <w:r w:rsidR="001B31E6">
              <w:t xml:space="preserve"> that </w:t>
            </w:r>
            <w:r w:rsidR="00FA32FF">
              <w:t>would be expected to be performed by other staff (junior or support)</w:t>
            </w:r>
            <w:r w:rsidR="006537D3">
              <w:t>.</w:t>
            </w:r>
          </w:p>
          <w:p w14:paraId="5FCB4CB4" w14:textId="656AD23A" w:rsidR="00520CE4" w:rsidRDefault="00C7170B" w:rsidP="00761FB1">
            <w:pPr>
              <w:pStyle w:val="ListParagraph"/>
              <w:numPr>
                <w:ilvl w:val="0"/>
                <w:numId w:val="41"/>
              </w:numPr>
              <w:spacing w:before="120" w:after="0"/>
              <w:ind w:left="306"/>
            </w:pPr>
            <w:r>
              <w:t>However</w:t>
            </w:r>
            <w:r w:rsidR="006867F5">
              <w:t xml:space="preserve">, total fees charged for administration tasks would be capped at </w:t>
            </w:r>
            <w:r w:rsidR="001D058A">
              <w:t xml:space="preserve">$8,000 </w:t>
            </w:r>
            <w:r w:rsidR="0006254E">
              <w:t>per year</w:t>
            </w:r>
            <w:r w:rsidR="00761FB1">
              <w:t>, or</w:t>
            </w:r>
            <w:r w:rsidR="0006254E">
              <w:t xml:space="preserve"> </w:t>
            </w:r>
            <w:r w:rsidR="00520CE4">
              <w:t xml:space="preserve">$2,000 </w:t>
            </w:r>
            <w:r w:rsidR="0006254E">
              <w:t xml:space="preserve">per year </w:t>
            </w:r>
            <w:r w:rsidR="003F71FC">
              <w:t xml:space="preserve">if the represented person </w:t>
            </w:r>
            <w:r w:rsidR="003F71FC" w:rsidRPr="007919B6">
              <w:rPr>
                <w:bCs/>
              </w:rPr>
              <w:t xml:space="preserve">has assets of less than $20,000 (excluding </w:t>
            </w:r>
            <w:r w:rsidR="003F71FC" w:rsidRPr="003F71FC">
              <w:rPr>
                <w:bCs/>
              </w:rPr>
              <w:t>principal place of residence</w:t>
            </w:r>
            <w:r w:rsidR="003F71FC" w:rsidRPr="007919B6">
              <w:rPr>
                <w:bCs/>
              </w:rPr>
              <w:t>) and income less than $930 per fortnight</w:t>
            </w:r>
            <w:r w:rsidR="0077727E">
              <w:rPr>
                <w:bCs/>
              </w:rPr>
              <w:t>.</w:t>
            </w:r>
            <w:r w:rsidR="00E479A5">
              <w:t xml:space="preserve"> </w:t>
            </w:r>
            <w:r w:rsidR="00C25BD2">
              <w:t xml:space="preserve">Administrators </w:t>
            </w:r>
            <w:r w:rsidR="00442E73">
              <w:t>would be able to</w:t>
            </w:r>
            <w:r w:rsidR="00C25BD2">
              <w:t xml:space="preserve"> ask VCAT to vary or waive these caps</w:t>
            </w:r>
            <w:r w:rsidR="00A2292C">
              <w:t>.</w:t>
            </w:r>
          </w:p>
          <w:p w14:paraId="21DCDD1F" w14:textId="737F8800" w:rsidR="002D2479" w:rsidRDefault="00A2292C" w:rsidP="00B06541">
            <w:pPr>
              <w:pStyle w:val="ListParagraph"/>
              <w:numPr>
                <w:ilvl w:val="0"/>
                <w:numId w:val="41"/>
              </w:numPr>
              <w:spacing w:before="120" w:after="0"/>
              <w:ind w:left="306"/>
            </w:pPr>
            <w:r>
              <w:t xml:space="preserve">The proposed remuneration (and caps) would not apply to </w:t>
            </w:r>
            <w:r w:rsidR="00D44C93">
              <w:t xml:space="preserve">genuine </w:t>
            </w:r>
            <w:r w:rsidR="002D2479">
              <w:t xml:space="preserve">legal work, for example drafting contracts or providing legal advice, </w:t>
            </w:r>
            <w:r w:rsidR="00D44C93">
              <w:t xml:space="preserve">or </w:t>
            </w:r>
            <w:r w:rsidR="00262EDD">
              <w:t>providing financial advice or services for which a licence is required.</w:t>
            </w:r>
            <w:r w:rsidR="0077727E">
              <w:t xml:space="preserve"> </w:t>
            </w:r>
            <w:r w:rsidR="000B4D69">
              <w:t>Also, s</w:t>
            </w:r>
            <w:r w:rsidR="0077727E">
              <w:t xml:space="preserve">ome administrator tasks (such as carrying on </w:t>
            </w:r>
            <w:r w:rsidR="00D97AFA">
              <w:t xml:space="preserve">a business or acting as </w:t>
            </w:r>
            <w:r w:rsidR="000B4D69">
              <w:t>a director) would not be counted in the proposed cap.</w:t>
            </w:r>
          </w:p>
          <w:p w14:paraId="1B6F0B06" w14:textId="193B592C" w:rsidR="009C73E5" w:rsidRDefault="009C73E5" w:rsidP="00B06541">
            <w:pPr>
              <w:pStyle w:val="ListParagraph"/>
              <w:numPr>
                <w:ilvl w:val="0"/>
                <w:numId w:val="41"/>
              </w:numPr>
              <w:spacing w:before="120" w:after="0"/>
              <w:ind w:left="306"/>
            </w:pPr>
            <w:r>
              <w:lastRenderedPageBreak/>
              <w:t>The remuneration scale will operate prospectively</w:t>
            </w:r>
            <w:r w:rsidR="00B73FC9">
              <w:t xml:space="preserve"> (i.e., to new administration orders)</w:t>
            </w:r>
            <w:r>
              <w:t>.</w:t>
            </w:r>
          </w:p>
          <w:p w14:paraId="65D0E53F" w14:textId="0A0DA579" w:rsidR="00805777" w:rsidRDefault="00520CE4" w:rsidP="00B06541">
            <w:pPr>
              <w:pStyle w:val="ListParagraph"/>
              <w:numPr>
                <w:ilvl w:val="0"/>
                <w:numId w:val="41"/>
              </w:numPr>
              <w:spacing w:before="120" w:after="0"/>
              <w:ind w:left="306"/>
            </w:pPr>
            <w:r>
              <w:t>VCAT will publish information to assist professional administrators</w:t>
            </w:r>
            <w:r w:rsidR="0091658F">
              <w:t xml:space="preserve"> apply the scale</w:t>
            </w:r>
            <w:r>
              <w:t>.</w:t>
            </w:r>
          </w:p>
        </w:tc>
      </w:tr>
    </w:tbl>
    <w:p w14:paraId="56ACD72F" w14:textId="6F1333E3" w:rsidR="00DC6354" w:rsidRDefault="00DC6354" w:rsidP="00DC6354">
      <w:pPr>
        <w:pStyle w:val="ListParagraph"/>
        <w:numPr>
          <w:ilvl w:val="0"/>
          <w:numId w:val="0"/>
        </w:numPr>
        <w:ind w:left="284"/>
        <w:rPr>
          <w:lang w:eastAsia="ja-JP"/>
        </w:rPr>
      </w:pPr>
    </w:p>
    <w:p w14:paraId="2CB0B667" w14:textId="77777777" w:rsidR="00250F95" w:rsidRDefault="00250F95" w:rsidP="000E30DC">
      <w:pPr>
        <w:pStyle w:val="Heading1"/>
        <w:numPr>
          <w:ilvl w:val="0"/>
          <w:numId w:val="0"/>
        </w:numPr>
        <w:pBdr>
          <w:top w:val="single" w:sz="4" w:space="0" w:color="auto"/>
          <w:left w:val="single" w:sz="4" w:space="4" w:color="auto"/>
          <w:bottom w:val="single" w:sz="4" w:space="0" w:color="auto"/>
          <w:right w:val="single" w:sz="4" w:space="4" w:color="auto"/>
        </w:pBdr>
        <w:ind w:left="432" w:hanging="432"/>
        <w:rPr>
          <w:lang w:eastAsia="ja-JP"/>
        </w:rPr>
      </w:pPr>
      <w:bookmarkStart w:id="14" w:name="_Toc117064488"/>
      <w:bookmarkStart w:id="15" w:name="_Toc115704174"/>
      <w:bookmarkStart w:id="16" w:name="_Toc124917418"/>
      <w:r>
        <w:rPr>
          <w:lang w:eastAsia="ja-JP"/>
        </w:rPr>
        <w:t>Feedback sought</w:t>
      </w:r>
      <w:bookmarkEnd w:id="14"/>
      <w:bookmarkEnd w:id="15"/>
      <w:bookmarkEnd w:id="16"/>
    </w:p>
    <w:p w14:paraId="125267C9" w14:textId="6994F732" w:rsidR="00250F95" w:rsidRPr="00805777" w:rsidRDefault="00250F95" w:rsidP="000E30DC">
      <w:pPr>
        <w:pBdr>
          <w:top w:val="single" w:sz="4" w:space="0" w:color="auto"/>
          <w:left w:val="single" w:sz="4" w:space="4" w:color="auto"/>
          <w:bottom w:val="single" w:sz="4" w:space="0" w:color="auto"/>
          <w:right w:val="single" w:sz="4" w:space="4" w:color="auto"/>
        </w:pBdr>
        <w:spacing w:after="120" w:line="240" w:lineRule="auto"/>
      </w:pPr>
      <w:r w:rsidRPr="00805777">
        <w:t xml:space="preserve">Before </w:t>
      </w:r>
      <w:r>
        <w:t>any decisions are made to set a new remuneration scale under the GAA,</w:t>
      </w:r>
      <w:r w:rsidR="00C62AAD">
        <w:t xml:space="preserve"> we</w:t>
      </w:r>
      <w:r>
        <w:t xml:space="preserve"> welcome comments from professional administrators appointed under the GAA</w:t>
      </w:r>
      <w:r w:rsidRPr="00506F9F">
        <w:t>, represented persons and their family and friends</w:t>
      </w:r>
      <w:r>
        <w:t xml:space="preserve">, or from any other organisation or member </w:t>
      </w:r>
      <w:r w:rsidR="00C62AAD">
        <w:t>of</w:t>
      </w:r>
      <w:r>
        <w:t xml:space="preserve"> the public with an interest in this matter. </w:t>
      </w:r>
      <w:r w:rsidRPr="00506F9F">
        <w:t>All responses will be reviewed and assessed in the context of the framework outlined in this paper</w:t>
      </w:r>
      <w:r>
        <w:t>. Following this, VCAT may amend the remuneration scale proposed in this paper.</w:t>
      </w:r>
    </w:p>
    <w:p w14:paraId="7E643FBD" w14:textId="12DC17F4" w:rsidR="00250F95" w:rsidRPr="00506F9F" w:rsidRDefault="00250F95" w:rsidP="000E30DC">
      <w:pPr>
        <w:pBdr>
          <w:top w:val="single" w:sz="4" w:space="0" w:color="auto"/>
          <w:left w:val="single" w:sz="4" w:space="4" w:color="auto"/>
          <w:bottom w:val="single" w:sz="4" w:space="0" w:color="auto"/>
          <w:right w:val="single" w:sz="4" w:space="4" w:color="auto"/>
        </w:pBdr>
        <w:rPr>
          <w:lang w:eastAsia="ja-JP"/>
        </w:rPr>
      </w:pPr>
      <w:r w:rsidRPr="00506F9F">
        <w:rPr>
          <w:lang w:eastAsia="ja-JP"/>
        </w:rPr>
        <w:t xml:space="preserve">While in no way limiting </w:t>
      </w:r>
      <w:r>
        <w:rPr>
          <w:lang w:eastAsia="ja-JP"/>
        </w:rPr>
        <w:t>any comments provided, feedback on the following questions will provide information to test the appropriateness of the proposed remuneration scale.</w:t>
      </w:r>
    </w:p>
    <w:p w14:paraId="66EE3EED" w14:textId="77777777" w:rsidR="00250F95" w:rsidRPr="00513DDF" w:rsidRDefault="00250F95" w:rsidP="000E30DC">
      <w:pPr>
        <w:pStyle w:val="ListParagraph"/>
        <w:numPr>
          <w:ilvl w:val="0"/>
          <w:numId w:val="40"/>
        </w:numPr>
        <w:pBdr>
          <w:top w:val="single" w:sz="4" w:space="0" w:color="auto"/>
          <w:left w:val="single" w:sz="4" w:space="4" w:color="auto"/>
          <w:bottom w:val="single" w:sz="4" w:space="0" w:color="auto"/>
          <w:right w:val="single" w:sz="4" w:space="4" w:color="auto"/>
        </w:pBdr>
        <w:ind w:left="284" w:hanging="284"/>
        <w:rPr>
          <w:lang w:eastAsia="ja-JP"/>
        </w:rPr>
      </w:pPr>
      <w:r w:rsidRPr="00272DFF">
        <w:rPr>
          <w:lang w:eastAsia="ja-JP"/>
        </w:rPr>
        <w:t xml:space="preserve">Do the </w:t>
      </w:r>
      <w:r>
        <w:rPr>
          <w:lang w:eastAsia="ja-JP"/>
        </w:rPr>
        <w:t>indicated</w:t>
      </w:r>
      <w:r w:rsidRPr="00272DFF">
        <w:rPr>
          <w:lang w:eastAsia="ja-JP"/>
        </w:rPr>
        <w:t xml:space="preserve"> hourly rates fairly balance the interests of represented persons (and the value of the services they receive) with fair remuneration to </w:t>
      </w:r>
      <w:r>
        <w:rPr>
          <w:lang w:eastAsia="ja-JP"/>
        </w:rPr>
        <w:t>professional</w:t>
      </w:r>
      <w:r w:rsidRPr="00272DFF">
        <w:rPr>
          <w:lang w:eastAsia="ja-JP"/>
        </w:rPr>
        <w:t xml:space="preserve"> administrator</w:t>
      </w:r>
      <w:r>
        <w:rPr>
          <w:lang w:eastAsia="ja-JP"/>
        </w:rPr>
        <w:t>s</w:t>
      </w:r>
      <w:r w:rsidRPr="00272DFF">
        <w:rPr>
          <w:lang w:eastAsia="ja-JP"/>
        </w:rPr>
        <w:t>?</w:t>
      </w:r>
    </w:p>
    <w:p w14:paraId="5CF1014F" w14:textId="77777777" w:rsidR="00250F95" w:rsidRDefault="00250F95" w:rsidP="000E30DC">
      <w:pPr>
        <w:pStyle w:val="ListParagraph"/>
        <w:numPr>
          <w:ilvl w:val="0"/>
          <w:numId w:val="40"/>
        </w:numPr>
        <w:pBdr>
          <w:top w:val="single" w:sz="4" w:space="0" w:color="auto"/>
          <w:left w:val="single" w:sz="4" w:space="4" w:color="auto"/>
          <w:bottom w:val="single" w:sz="4" w:space="0" w:color="auto"/>
          <w:right w:val="single" w:sz="4" w:space="4" w:color="auto"/>
        </w:pBdr>
        <w:ind w:left="284" w:hanging="284"/>
        <w:rPr>
          <w:lang w:eastAsia="ja-JP"/>
        </w:rPr>
      </w:pPr>
      <w:r w:rsidRPr="00272DFF">
        <w:rPr>
          <w:lang w:eastAsia="ja-JP"/>
        </w:rPr>
        <w:t>Does the distribution of tasks appropriately reflect both the nature of the tasks (the skill involved and/or the personnel involved) as well as value to the represented person?</w:t>
      </w:r>
    </w:p>
    <w:p w14:paraId="24CC0D2A" w14:textId="77777777" w:rsidR="00250F95" w:rsidRDefault="00250F95" w:rsidP="000E30DC">
      <w:pPr>
        <w:pStyle w:val="ListParagraph"/>
        <w:numPr>
          <w:ilvl w:val="0"/>
          <w:numId w:val="40"/>
        </w:numPr>
        <w:pBdr>
          <w:top w:val="single" w:sz="4" w:space="0" w:color="auto"/>
          <w:left w:val="single" w:sz="4" w:space="4" w:color="auto"/>
          <w:bottom w:val="single" w:sz="4" w:space="0" w:color="auto"/>
          <w:right w:val="single" w:sz="4" w:space="4" w:color="auto"/>
        </w:pBdr>
        <w:ind w:left="284" w:hanging="284"/>
        <w:rPr>
          <w:lang w:eastAsia="ja-JP"/>
        </w:rPr>
      </w:pPr>
      <w:r w:rsidRPr="00272DFF">
        <w:rPr>
          <w:lang w:eastAsia="ja-JP"/>
        </w:rPr>
        <w:t>How should the hourly rates be applied</w:t>
      </w:r>
      <w:r>
        <w:rPr>
          <w:lang w:eastAsia="ja-JP"/>
        </w:rPr>
        <w:t xml:space="preserve"> in practice</w:t>
      </w:r>
      <w:r w:rsidRPr="00272DFF">
        <w:rPr>
          <w:lang w:eastAsia="ja-JP"/>
        </w:rPr>
        <w:t>? For example, in 6</w:t>
      </w:r>
      <w:r>
        <w:rPr>
          <w:lang w:eastAsia="ja-JP"/>
        </w:rPr>
        <w:t>-</w:t>
      </w:r>
      <w:r w:rsidRPr="00272DFF">
        <w:rPr>
          <w:lang w:eastAsia="ja-JP"/>
        </w:rPr>
        <w:t>minute</w:t>
      </w:r>
      <w:r>
        <w:rPr>
          <w:lang w:eastAsia="ja-JP"/>
        </w:rPr>
        <w:t xml:space="preserve"> increments</w:t>
      </w:r>
      <w:r w:rsidRPr="00272DFF">
        <w:rPr>
          <w:lang w:eastAsia="ja-JP"/>
        </w:rPr>
        <w:t>, 15</w:t>
      </w:r>
      <w:r>
        <w:rPr>
          <w:lang w:eastAsia="ja-JP"/>
        </w:rPr>
        <w:t>-</w:t>
      </w:r>
      <w:r w:rsidRPr="00272DFF">
        <w:rPr>
          <w:lang w:eastAsia="ja-JP"/>
        </w:rPr>
        <w:t>minute increments</w:t>
      </w:r>
      <w:r>
        <w:rPr>
          <w:lang w:eastAsia="ja-JP"/>
        </w:rPr>
        <w:t>, etc.</w:t>
      </w:r>
      <w:r w:rsidRPr="00272DFF">
        <w:rPr>
          <w:lang w:eastAsia="ja-JP"/>
        </w:rPr>
        <w:t>?</w:t>
      </w:r>
      <w:r>
        <w:rPr>
          <w:lang w:eastAsia="ja-JP"/>
        </w:rPr>
        <w:t xml:space="preserve"> How can this be calculated in a way that does not impose additional administrative burden, while being transparent and fair?</w:t>
      </w:r>
    </w:p>
    <w:p w14:paraId="4321D974" w14:textId="77777777" w:rsidR="00250F95" w:rsidRDefault="00250F95" w:rsidP="000E30DC">
      <w:pPr>
        <w:pStyle w:val="ListParagraph"/>
        <w:numPr>
          <w:ilvl w:val="0"/>
          <w:numId w:val="40"/>
        </w:numPr>
        <w:pBdr>
          <w:top w:val="single" w:sz="4" w:space="0" w:color="auto"/>
          <w:left w:val="single" w:sz="4" w:space="4" w:color="auto"/>
          <w:bottom w:val="single" w:sz="4" w:space="0" w:color="auto"/>
          <w:right w:val="single" w:sz="4" w:space="4" w:color="auto"/>
        </w:pBdr>
        <w:ind w:left="284" w:hanging="284"/>
        <w:rPr>
          <w:lang w:eastAsia="ja-JP"/>
        </w:rPr>
      </w:pPr>
      <w:r>
        <w:rPr>
          <w:lang w:eastAsia="ja-JP"/>
        </w:rPr>
        <w:t>The proposed scale would not apply to genuine legal work. Is the distinction between</w:t>
      </w:r>
      <w:r w:rsidRPr="00272DFF">
        <w:rPr>
          <w:lang w:eastAsia="ja-JP"/>
        </w:rPr>
        <w:t xml:space="preserve"> </w:t>
      </w:r>
      <w:r>
        <w:rPr>
          <w:lang w:eastAsia="ja-JP"/>
        </w:rPr>
        <w:t xml:space="preserve">legal work and </w:t>
      </w:r>
      <w:r w:rsidRPr="00272DFF">
        <w:rPr>
          <w:lang w:eastAsia="ja-JP"/>
        </w:rPr>
        <w:t>administra</w:t>
      </w:r>
      <w:r>
        <w:rPr>
          <w:lang w:eastAsia="ja-JP"/>
        </w:rPr>
        <w:t>tor</w:t>
      </w:r>
      <w:r w:rsidRPr="00272DFF">
        <w:rPr>
          <w:lang w:eastAsia="ja-JP"/>
        </w:rPr>
        <w:t xml:space="preserve"> work </w:t>
      </w:r>
      <w:r>
        <w:rPr>
          <w:lang w:eastAsia="ja-JP"/>
        </w:rPr>
        <w:t>in the draft scale sufficiently clear? If not, what further clarification would be needed?</w:t>
      </w:r>
    </w:p>
    <w:p w14:paraId="08FDBE49" w14:textId="49043636" w:rsidR="00250F95" w:rsidRDefault="00250F95" w:rsidP="000E30DC">
      <w:pPr>
        <w:pStyle w:val="ListParagraph"/>
        <w:numPr>
          <w:ilvl w:val="0"/>
          <w:numId w:val="40"/>
        </w:numPr>
        <w:pBdr>
          <w:top w:val="single" w:sz="4" w:space="0" w:color="auto"/>
          <w:left w:val="single" w:sz="4" w:space="4" w:color="auto"/>
          <w:bottom w:val="single" w:sz="4" w:space="0" w:color="auto"/>
          <w:right w:val="single" w:sz="4" w:space="4" w:color="auto"/>
        </w:pBdr>
        <w:ind w:left="284" w:hanging="284"/>
        <w:rPr>
          <w:lang w:eastAsia="ja-JP"/>
        </w:rPr>
      </w:pPr>
      <w:r w:rsidRPr="00660301">
        <w:rPr>
          <w:lang w:eastAsia="ja-JP"/>
        </w:rPr>
        <w:t>Should the</w:t>
      </w:r>
      <w:r>
        <w:rPr>
          <w:lang w:eastAsia="ja-JP"/>
        </w:rPr>
        <w:t xml:space="preserve"> final</w:t>
      </w:r>
      <w:r w:rsidRPr="00660301">
        <w:rPr>
          <w:lang w:eastAsia="ja-JP"/>
        </w:rPr>
        <w:t xml:space="preserve"> </w:t>
      </w:r>
      <w:r>
        <w:rPr>
          <w:lang w:eastAsia="ja-JP"/>
        </w:rPr>
        <w:t xml:space="preserve">remuneration scale include the suggested </w:t>
      </w:r>
      <w:r w:rsidRPr="00660301">
        <w:rPr>
          <w:lang w:eastAsia="ja-JP"/>
        </w:rPr>
        <w:t xml:space="preserve">fee caps (allowing exceptions where appropriate) or </w:t>
      </w:r>
      <w:r w:rsidR="00C62AAD">
        <w:rPr>
          <w:lang w:eastAsia="ja-JP"/>
        </w:rPr>
        <w:t xml:space="preserve">should caps </w:t>
      </w:r>
      <w:r w:rsidRPr="00660301">
        <w:rPr>
          <w:lang w:eastAsia="ja-JP"/>
        </w:rPr>
        <w:t xml:space="preserve">continue to be only imposed when specifically considered? If so, what are </w:t>
      </w:r>
      <w:r>
        <w:rPr>
          <w:lang w:eastAsia="ja-JP"/>
        </w:rPr>
        <w:t xml:space="preserve">the </w:t>
      </w:r>
      <w:r w:rsidRPr="00660301">
        <w:rPr>
          <w:lang w:eastAsia="ja-JP"/>
        </w:rPr>
        <w:t>appropriate cap</w:t>
      </w:r>
      <w:r>
        <w:rPr>
          <w:lang w:eastAsia="ja-JP"/>
        </w:rPr>
        <w:t>s</w:t>
      </w:r>
      <w:r w:rsidRPr="00660301">
        <w:rPr>
          <w:lang w:eastAsia="ja-JP"/>
        </w:rPr>
        <w:t xml:space="preserve"> (noting the intended purpose is to keep robust controls over excessive fees, and </w:t>
      </w:r>
      <w:r>
        <w:rPr>
          <w:lang w:eastAsia="ja-JP"/>
        </w:rPr>
        <w:t xml:space="preserve">that caps </w:t>
      </w:r>
      <w:r w:rsidRPr="00660301">
        <w:rPr>
          <w:lang w:eastAsia="ja-JP"/>
        </w:rPr>
        <w:t>can be varied or waived if there is a clear reason to do so).</w:t>
      </w:r>
    </w:p>
    <w:p w14:paraId="50CB9219" w14:textId="77777777" w:rsidR="00250F95" w:rsidRDefault="00250F95" w:rsidP="00966658">
      <w:pPr>
        <w:rPr>
          <w:lang w:eastAsia="ja-JP"/>
        </w:rPr>
      </w:pPr>
    </w:p>
    <w:p w14:paraId="42B4C0BF" w14:textId="5D0A9408" w:rsidR="0095039A" w:rsidRDefault="007D0D2A">
      <w:pPr>
        <w:spacing w:after="120" w:line="240" w:lineRule="auto"/>
      </w:pPr>
      <w:r>
        <w:t xml:space="preserve">Responses to this </w:t>
      </w:r>
      <w:r w:rsidR="00966658">
        <w:t>Discussion</w:t>
      </w:r>
      <w:r w:rsidR="00914444">
        <w:t xml:space="preserve"> Paper</w:t>
      </w:r>
      <w:r>
        <w:t xml:space="preserve"> </w:t>
      </w:r>
      <w:r w:rsidR="007D0F5A">
        <w:t>should</w:t>
      </w:r>
      <w:r w:rsidR="002C28EF">
        <w:t xml:space="preserve"> be emailed in </w:t>
      </w:r>
      <w:r w:rsidR="0095039A">
        <w:t xml:space="preserve">word or pdf format </w:t>
      </w:r>
      <w:r w:rsidR="002C28EF">
        <w:t>to the following address</w:t>
      </w:r>
      <w:r w:rsidR="0095039A">
        <w:t>:</w:t>
      </w:r>
    </w:p>
    <w:p w14:paraId="5441B7AC" w14:textId="386CFAAD" w:rsidR="004C76A9" w:rsidRDefault="00000000">
      <w:pPr>
        <w:spacing w:after="120" w:line="240" w:lineRule="auto"/>
      </w:pPr>
      <w:hyperlink r:id="rId14" w:history="1">
        <w:r w:rsidR="004C76A9" w:rsidRPr="006835F5">
          <w:rPr>
            <w:rStyle w:val="Hyperlink"/>
            <w:rFonts w:asciiTheme="minorHAnsi" w:hAnsiTheme="minorHAnsi"/>
          </w:rPr>
          <w:t>vcatprincipalregistrar@courts.vic.gov.au</w:t>
        </w:r>
      </w:hyperlink>
    </w:p>
    <w:p w14:paraId="63BF7000" w14:textId="7440B8C6" w:rsidR="00627DCF" w:rsidRPr="00966658" w:rsidRDefault="007D0F5A">
      <w:pPr>
        <w:spacing w:after="120" w:line="240" w:lineRule="auto"/>
      </w:pPr>
      <w:r>
        <w:t>Submissions</w:t>
      </w:r>
      <w:r w:rsidR="00D92594">
        <w:t xml:space="preserve"> must be received by </w:t>
      </w:r>
      <w:r w:rsidR="00D92594" w:rsidRPr="004C76A9">
        <w:rPr>
          <w:b/>
          <w:bCs/>
        </w:rPr>
        <w:t>5</w:t>
      </w:r>
      <w:r w:rsidR="00E671CE">
        <w:rPr>
          <w:b/>
          <w:bCs/>
        </w:rPr>
        <w:t>PM</w:t>
      </w:r>
      <w:r w:rsidR="00D92594" w:rsidRPr="004C76A9">
        <w:rPr>
          <w:b/>
          <w:bCs/>
        </w:rPr>
        <w:t xml:space="preserve"> on </w:t>
      </w:r>
      <w:r w:rsidR="004437C0">
        <w:rPr>
          <w:b/>
          <w:bCs/>
        </w:rPr>
        <w:t xml:space="preserve">Thursday </w:t>
      </w:r>
      <w:r w:rsidR="00E836E4">
        <w:rPr>
          <w:b/>
          <w:bCs/>
        </w:rPr>
        <w:t>22</w:t>
      </w:r>
      <w:r w:rsidR="004C76A9" w:rsidRPr="004C76A9">
        <w:rPr>
          <w:b/>
          <w:bCs/>
        </w:rPr>
        <w:t xml:space="preserve"> June 2023</w:t>
      </w:r>
      <w:r w:rsidR="00D92594">
        <w:t xml:space="preserve"> in order to be considered before a final decision is made.</w:t>
      </w:r>
      <w:r w:rsidR="00966658">
        <w:t xml:space="preserve"> </w:t>
      </w:r>
      <w:r>
        <w:t>All submissions will be treated as public documents</w:t>
      </w:r>
      <w:r w:rsidR="00904E6E">
        <w:t xml:space="preserve"> unless a submitter requests, and VCAT agrees, to treat a submission as confidential.</w:t>
      </w:r>
      <w:r w:rsidR="00627DCF">
        <w:br w:type="page"/>
      </w:r>
    </w:p>
    <w:p w14:paraId="25B81359" w14:textId="7FFB2D71" w:rsidR="00996FA1" w:rsidRDefault="00E74E2F" w:rsidP="00E74E2F">
      <w:pPr>
        <w:pStyle w:val="Heading1"/>
      </w:pPr>
      <w:bookmarkStart w:id="17" w:name="_Toc117064489"/>
      <w:bookmarkStart w:id="18" w:name="_Toc115704175"/>
      <w:bookmarkStart w:id="19" w:name="_Toc124917419"/>
      <w:r>
        <w:lastRenderedPageBreak/>
        <w:t>Context</w:t>
      </w:r>
      <w:bookmarkEnd w:id="17"/>
      <w:bookmarkEnd w:id="18"/>
      <w:r w:rsidR="00B34DC4">
        <w:t xml:space="preserve"> and current arrangements</w:t>
      </w:r>
      <w:bookmarkEnd w:id="19"/>
    </w:p>
    <w:p w14:paraId="64EF790C" w14:textId="797C2470" w:rsidR="00752384" w:rsidRDefault="00752384" w:rsidP="00752384">
      <w:pPr>
        <w:pStyle w:val="Heading2"/>
      </w:pPr>
      <w:bookmarkStart w:id="20" w:name="_Toc117064490"/>
      <w:bookmarkStart w:id="21" w:name="_Toc115704176"/>
      <w:bookmarkStart w:id="22" w:name="_Toc124917420"/>
      <w:r>
        <w:t>Role and function of administrators</w:t>
      </w:r>
      <w:bookmarkEnd w:id="20"/>
      <w:bookmarkEnd w:id="21"/>
      <w:bookmarkEnd w:id="22"/>
    </w:p>
    <w:p w14:paraId="6FB2C726" w14:textId="49E157BB" w:rsidR="00DB77B8" w:rsidRDefault="00DB77B8" w:rsidP="00FD2BAA">
      <w:pPr>
        <w:spacing w:line="240" w:lineRule="auto"/>
        <w:rPr>
          <w:lang w:eastAsia="ja-JP"/>
        </w:rPr>
      </w:pPr>
      <w:r w:rsidRPr="00C8539F">
        <w:rPr>
          <w:lang w:eastAsia="ja-JP"/>
        </w:rPr>
        <w:t>An administrator manages the financial and legal affairs of an adult who is unable to make financial or legal decisions because of their disability.</w:t>
      </w:r>
    </w:p>
    <w:p w14:paraId="15049C69" w14:textId="5BF8AE06" w:rsidR="00787578" w:rsidRDefault="00B279B9" w:rsidP="00FD2BAA">
      <w:pPr>
        <w:spacing w:line="240" w:lineRule="auto"/>
        <w:rPr>
          <w:lang w:eastAsia="ja-JP"/>
        </w:rPr>
      </w:pPr>
      <w:r w:rsidRPr="00B279B9">
        <w:rPr>
          <w:lang w:eastAsia="ja-JP"/>
        </w:rPr>
        <w:t xml:space="preserve">Under section 30 of the </w:t>
      </w:r>
      <w:r w:rsidRPr="00B279B9">
        <w:rPr>
          <w:i/>
          <w:iCs/>
          <w:lang w:eastAsia="ja-JP"/>
        </w:rPr>
        <w:t>Guardianship and Administration Act 2019</w:t>
      </w:r>
      <w:r w:rsidRPr="00B279B9">
        <w:rPr>
          <w:lang w:eastAsia="ja-JP"/>
        </w:rPr>
        <w:t xml:space="preserve"> (GAA), </w:t>
      </w:r>
      <w:r w:rsidR="00823B19">
        <w:rPr>
          <w:lang w:eastAsia="ja-JP"/>
        </w:rPr>
        <w:t>VCAT</w:t>
      </w:r>
      <w:r w:rsidRPr="00B279B9">
        <w:rPr>
          <w:lang w:eastAsia="ja-JP"/>
        </w:rPr>
        <w:t xml:space="preserve"> may make an administration order where</w:t>
      </w:r>
      <w:r w:rsidR="00787578">
        <w:rPr>
          <w:lang w:eastAsia="ja-JP"/>
        </w:rPr>
        <w:t>:</w:t>
      </w:r>
    </w:p>
    <w:p w14:paraId="1E85F5C2" w14:textId="57B9AA03" w:rsidR="00787578" w:rsidRDefault="00B279B9" w:rsidP="00FD2BAA">
      <w:pPr>
        <w:pStyle w:val="ListParagraph"/>
        <w:numPr>
          <w:ilvl w:val="0"/>
          <w:numId w:val="3"/>
        </w:numPr>
        <w:spacing w:after="160"/>
        <w:rPr>
          <w:lang w:eastAsia="ja-JP"/>
        </w:rPr>
      </w:pPr>
      <w:r w:rsidRPr="00B279B9">
        <w:rPr>
          <w:lang w:eastAsia="ja-JP"/>
        </w:rPr>
        <w:t>a proposed represented person does not have decision-making capacity in relation to financial matters</w:t>
      </w:r>
    </w:p>
    <w:p w14:paraId="02ECE54D" w14:textId="5136330E" w:rsidR="00787578" w:rsidRDefault="00B279B9" w:rsidP="00FD2BAA">
      <w:pPr>
        <w:pStyle w:val="ListParagraph"/>
        <w:numPr>
          <w:ilvl w:val="0"/>
          <w:numId w:val="3"/>
        </w:numPr>
        <w:spacing w:after="160"/>
        <w:rPr>
          <w:lang w:eastAsia="ja-JP"/>
        </w:rPr>
      </w:pPr>
      <w:r w:rsidRPr="00B279B9">
        <w:rPr>
          <w:lang w:eastAsia="ja-JP"/>
        </w:rPr>
        <w:t>there is a need for an administrator, and</w:t>
      </w:r>
    </w:p>
    <w:p w14:paraId="181682F0" w14:textId="58E53C83" w:rsidR="00787578" w:rsidRDefault="00B279B9" w:rsidP="00FD2BAA">
      <w:pPr>
        <w:pStyle w:val="ListParagraph"/>
        <w:numPr>
          <w:ilvl w:val="0"/>
          <w:numId w:val="3"/>
        </w:numPr>
        <w:spacing w:after="160"/>
        <w:rPr>
          <w:lang w:eastAsia="ja-JP"/>
        </w:rPr>
      </w:pPr>
      <w:r w:rsidRPr="00B279B9">
        <w:rPr>
          <w:lang w:eastAsia="ja-JP"/>
        </w:rPr>
        <w:t>the appointment will promote the proposed represented person</w:t>
      </w:r>
      <w:r w:rsidR="00BE6C58">
        <w:rPr>
          <w:lang w:eastAsia="ja-JP"/>
        </w:rPr>
        <w:t>’</w:t>
      </w:r>
      <w:r w:rsidRPr="00B279B9">
        <w:rPr>
          <w:lang w:eastAsia="ja-JP"/>
        </w:rPr>
        <w:t>s personal and social wellbeing.</w:t>
      </w:r>
    </w:p>
    <w:p w14:paraId="50F59C7D" w14:textId="32A9EABC" w:rsidR="00E74E2F" w:rsidRDefault="00B279B9" w:rsidP="00FD2BAA">
      <w:pPr>
        <w:spacing w:line="240" w:lineRule="auto"/>
        <w:rPr>
          <w:lang w:eastAsia="ja-JP"/>
        </w:rPr>
      </w:pPr>
      <w:r w:rsidRPr="00B279B9">
        <w:rPr>
          <w:lang w:eastAsia="ja-JP"/>
        </w:rPr>
        <w:t>Administrators may also be appointed for missing persons.</w:t>
      </w:r>
    </w:p>
    <w:p w14:paraId="40344F58" w14:textId="6210C88C" w:rsidR="00932567" w:rsidRDefault="00A50A02" w:rsidP="00A50A02">
      <w:pPr>
        <w:rPr>
          <w:lang w:eastAsia="ja-JP"/>
        </w:rPr>
      </w:pPr>
      <w:r>
        <w:rPr>
          <w:lang w:eastAsia="ja-JP"/>
        </w:rPr>
        <w:t>An administrator makes decisions</w:t>
      </w:r>
      <w:r w:rsidR="00932567">
        <w:rPr>
          <w:lang w:eastAsia="ja-JP"/>
        </w:rPr>
        <w:t xml:space="preserve"> about</w:t>
      </w:r>
      <w:r>
        <w:rPr>
          <w:lang w:eastAsia="ja-JP"/>
        </w:rPr>
        <w:t xml:space="preserve"> </w:t>
      </w:r>
      <w:r w:rsidR="00932567" w:rsidRPr="009C2455">
        <w:rPr>
          <w:rFonts w:eastAsiaTheme="minorEastAsia" w:cs="Times New Roman (Body CS)"/>
          <w:szCs w:val="24"/>
          <w:lang w:eastAsia="ja-JP"/>
        </w:rPr>
        <w:t>managing property</w:t>
      </w:r>
      <w:r>
        <w:rPr>
          <w:rFonts w:eastAsiaTheme="minorEastAsia" w:cs="Times New Roman (Body CS)"/>
          <w:szCs w:val="24"/>
          <w:lang w:eastAsia="ja-JP"/>
        </w:rPr>
        <w:t xml:space="preserve">, </w:t>
      </w:r>
      <w:r w:rsidR="00932567" w:rsidRPr="009C2455">
        <w:rPr>
          <w:rFonts w:eastAsiaTheme="minorEastAsia" w:cs="Times New Roman (Body CS)"/>
          <w:szCs w:val="24"/>
          <w:lang w:eastAsia="ja-JP"/>
        </w:rPr>
        <w:t>paying bills</w:t>
      </w:r>
      <w:r>
        <w:rPr>
          <w:rFonts w:eastAsiaTheme="minorEastAsia" w:cs="Times New Roman (Body CS)"/>
          <w:szCs w:val="24"/>
          <w:lang w:eastAsia="ja-JP"/>
        </w:rPr>
        <w:t xml:space="preserve">, and </w:t>
      </w:r>
      <w:r w:rsidR="00932567" w:rsidRPr="009C2455">
        <w:rPr>
          <w:rFonts w:eastAsiaTheme="minorEastAsia" w:cs="Times New Roman (Body CS)"/>
          <w:szCs w:val="24"/>
          <w:lang w:eastAsia="ja-JP"/>
        </w:rPr>
        <w:t>buying</w:t>
      </w:r>
      <w:r w:rsidR="00932567">
        <w:rPr>
          <w:lang w:eastAsia="ja-JP"/>
        </w:rPr>
        <w:t xml:space="preserve"> things </w:t>
      </w:r>
      <w:r w:rsidR="00E62DDA">
        <w:rPr>
          <w:lang w:eastAsia="ja-JP"/>
        </w:rPr>
        <w:t>the represented person</w:t>
      </w:r>
      <w:r w:rsidR="00932567">
        <w:rPr>
          <w:lang w:eastAsia="ja-JP"/>
        </w:rPr>
        <w:t xml:space="preserve"> want</w:t>
      </w:r>
      <w:r w:rsidR="00E62DDA">
        <w:rPr>
          <w:lang w:eastAsia="ja-JP"/>
        </w:rPr>
        <w:t>s</w:t>
      </w:r>
      <w:r w:rsidR="00932567">
        <w:rPr>
          <w:lang w:eastAsia="ja-JP"/>
        </w:rPr>
        <w:t xml:space="preserve"> or need</w:t>
      </w:r>
      <w:r w:rsidR="00E62DDA">
        <w:rPr>
          <w:lang w:eastAsia="ja-JP"/>
        </w:rPr>
        <w:t>s</w:t>
      </w:r>
      <w:r w:rsidR="00932567">
        <w:rPr>
          <w:lang w:eastAsia="ja-JP"/>
        </w:rPr>
        <w:t>.</w:t>
      </w:r>
    </w:p>
    <w:p w14:paraId="4AC372B4" w14:textId="1F395721" w:rsidR="00932567" w:rsidRDefault="00E62DDA" w:rsidP="00932567">
      <w:pPr>
        <w:rPr>
          <w:lang w:eastAsia="ja-JP"/>
        </w:rPr>
      </w:pPr>
      <w:r>
        <w:rPr>
          <w:lang w:eastAsia="ja-JP"/>
        </w:rPr>
        <w:t>VCAT</w:t>
      </w:r>
      <w:r w:rsidR="00932567">
        <w:rPr>
          <w:lang w:eastAsia="ja-JP"/>
        </w:rPr>
        <w:t xml:space="preserve"> may also give </w:t>
      </w:r>
      <w:r>
        <w:rPr>
          <w:lang w:eastAsia="ja-JP"/>
        </w:rPr>
        <w:t>administrators</w:t>
      </w:r>
      <w:r w:rsidR="00932567">
        <w:rPr>
          <w:lang w:eastAsia="ja-JP"/>
        </w:rPr>
        <w:t xml:space="preserve"> other powers</w:t>
      </w:r>
      <w:r>
        <w:rPr>
          <w:lang w:eastAsia="ja-JP"/>
        </w:rPr>
        <w:t>, including</w:t>
      </w:r>
      <w:r w:rsidR="00932567">
        <w:rPr>
          <w:lang w:eastAsia="ja-JP"/>
        </w:rPr>
        <w:t>:</w:t>
      </w:r>
    </w:p>
    <w:p w14:paraId="71B6CCFC" w14:textId="6D4F5224" w:rsidR="00932567" w:rsidRDefault="00932567" w:rsidP="00B246AF">
      <w:pPr>
        <w:pStyle w:val="ListParagraph"/>
        <w:numPr>
          <w:ilvl w:val="0"/>
          <w:numId w:val="3"/>
        </w:numPr>
        <w:spacing w:after="160"/>
        <w:rPr>
          <w:lang w:eastAsia="ja-JP"/>
        </w:rPr>
      </w:pPr>
      <w:r>
        <w:rPr>
          <w:lang w:eastAsia="ja-JP"/>
        </w:rPr>
        <w:t>collect</w:t>
      </w:r>
      <w:r w:rsidR="00E62DDA">
        <w:rPr>
          <w:lang w:eastAsia="ja-JP"/>
        </w:rPr>
        <w:t>ing</w:t>
      </w:r>
      <w:r>
        <w:rPr>
          <w:lang w:eastAsia="ja-JP"/>
        </w:rPr>
        <w:t xml:space="preserve"> income and other money owed to the </w:t>
      </w:r>
      <w:r w:rsidR="00E62DDA">
        <w:rPr>
          <w:lang w:eastAsia="ja-JP"/>
        </w:rPr>
        <w:t xml:space="preserve">represented </w:t>
      </w:r>
      <w:r>
        <w:rPr>
          <w:lang w:eastAsia="ja-JP"/>
        </w:rPr>
        <w:t>person</w:t>
      </w:r>
    </w:p>
    <w:p w14:paraId="0CE2E5D2" w14:textId="14F81892" w:rsidR="00932567" w:rsidRDefault="00932567" w:rsidP="00B246AF">
      <w:pPr>
        <w:pStyle w:val="ListParagraph"/>
        <w:numPr>
          <w:ilvl w:val="0"/>
          <w:numId w:val="3"/>
        </w:numPr>
        <w:spacing w:after="160"/>
        <w:rPr>
          <w:lang w:eastAsia="ja-JP"/>
        </w:rPr>
      </w:pPr>
      <w:r>
        <w:rPr>
          <w:lang w:eastAsia="ja-JP"/>
        </w:rPr>
        <w:t>invest</w:t>
      </w:r>
      <w:r w:rsidR="00E62DDA">
        <w:rPr>
          <w:lang w:eastAsia="ja-JP"/>
        </w:rPr>
        <w:t>ing</w:t>
      </w:r>
      <w:r>
        <w:rPr>
          <w:lang w:eastAsia="ja-JP"/>
        </w:rPr>
        <w:t xml:space="preserve"> money</w:t>
      </w:r>
    </w:p>
    <w:p w14:paraId="77976FF2" w14:textId="13DE7021" w:rsidR="00932567" w:rsidRDefault="00932567" w:rsidP="00B246AF">
      <w:pPr>
        <w:pStyle w:val="ListParagraph"/>
        <w:numPr>
          <w:ilvl w:val="0"/>
          <w:numId w:val="3"/>
        </w:numPr>
        <w:spacing w:after="160"/>
        <w:rPr>
          <w:lang w:eastAsia="ja-JP"/>
        </w:rPr>
      </w:pPr>
      <w:r>
        <w:rPr>
          <w:lang w:eastAsia="ja-JP"/>
        </w:rPr>
        <w:t>leas</w:t>
      </w:r>
      <w:r w:rsidR="00E62DDA">
        <w:rPr>
          <w:lang w:eastAsia="ja-JP"/>
        </w:rPr>
        <w:t>ing</w:t>
      </w:r>
      <w:r>
        <w:rPr>
          <w:lang w:eastAsia="ja-JP"/>
        </w:rPr>
        <w:t xml:space="preserve"> or sell</w:t>
      </w:r>
      <w:r w:rsidR="00E62DDA">
        <w:rPr>
          <w:lang w:eastAsia="ja-JP"/>
        </w:rPr>
        <w:t>ing</w:t>
      </w:r>
      <w:r>
        <w:rPr>
          <w:lang w:eastAsia="ja-JP"/>
        </w:rPr>
        <w:t xml:space="preserve"> property</w:t>
      </w:r>
    </w:p>
    <w:p w14:paraId="07AE7BC5" w14:textId="250FA45D" w:rsidR="00932567" w:rsidRDefault="00932567" w:rsidP="00B246AF">
      <w:pPr>
        <w:pStyle w:val="ListParagraph"/>
        <w:numPr>
          <w:ilvl w:val="0"/>
          <w:numId w:val="3"/>
        </w:numPr>
        <w:spacing w:after="160"/>
        <w:rPr>
          <w:lang w:eastAsia="ja-JP"/>
        </w:rPr>
      </w:pPr>
      <w:r>
        <w:rPr>
          <w:lang w:eastAsia="ja-JP"/>
        </w:rPr>
        <w:t>run</w:t>
      </w:r>
      <w:r w:rsidR="00E62DDA">
        <w:rPr>
          <w:lang w:eastAsia="ja-JP"/>
        </w:rPr>
        <w:t>ning a</w:t>
      </w:r>
      <w:r>
        <w:rPr>
          <w:lang w:eastAsia="ja-JP"/>
        </w:rPr>
        <w:t xml:space="preserve"> business</w:t>
      </w:r>
    </w:p>
    <w:p w14:paraId="4BCEFAEC" w14:textId="37658DAA" w:rsidR="00932567" w:rsidRDefault="00932567" w:rsidP="00B246AF">
      <w:pPr>
        <w:pStyle w:val="ListParagraph"/>
        <w:numPr>
          <w:ilvl w:val="0"/>
          <w:numId w:val="3"/>
        </w:numPr>
        <w:spacing w:after="160"/>
        <w:rPr>
          <w:lang w:eastAsia="ja-JP"/>
        </w:rPr>
      </w:pPr>
      <w:r>
        <w:rPr>
          <w:lang w:eastAsia="ja-JP"/>
        </w:rPr>
        <w:t>sign</w:t>
      </w:r>
      <w:r w:rsidR="00E62DDA">
        <w:rPr>
          <w:lang w:eastAsia="ja-JP"/>
        </w:rPr>
        <w:t>ing</w:t>
      </w:r>
      <w:r>
        <w:rPr>
          <w:lang w:eastAsia="ja-JP"/>
        </w:rPr>
        <w:t xml:space="preserve"> contracts on </w:t>
      </w:r>
      <w:r w:rsidR="00E62DDA">
        <w:rPr>
          <w:lang w:eastAsia="ja-JP"/>
        </w:rPr>
        <w:t>behalf of the represented person</w:t>
      </w:r>
      <w:r w:rsidR="00BE6C58">
        <w:rPr>
          <w:lang w:eastAsia="ja-JP"/>
        </w:rPr>
        <w:t>, and</w:t>
      </w:r>
    </w:p>
    <w:p w14:paraId="7C213E65" w14:textId="6D9A9FD9" w:rsidR="00C8539F" w:rsidRDefault="00932567" w:rsidP="00B246AF">
      <w:pPr>
        <w:pStyle w:val="ListParagraph"/>
        <w:numPr>
          <w:ilvl w:val="0"/>
          <w:numId w:val="3"/>
        </w:numPr>
        <w:spacing w:after="160"/>
        <w:rPr>
          <w:lang w:eastAsia="ja-JP"/>
        </w:rPr>
      </w:pPr>
      <w:r>
        <w:rPr>
          <w:lang w:eastAsia="ja-JP"/>
        </w:rPr>
        <w:t>pay</w:t>
      </w:r>
      <w:r w:rsidR="00E62DDA">
        <w:rPr>
          <w:lang w:eastAsia="ja-JP"/>
        </w:rPr>
        <w:t>ing</w:t>
      </w:r>
      <w:r>
        <w:rPr>
          <w:lang w:eastAsia="ja-JP"/>
        </w:rPr>
        <w:t xml:space="preserve"> financial support for children or other dependents.</w:t>
      </w:r>
    </w:p>
    <w:p w14:paraId="1216DEEB" w14:textId="7E4081DD" w:rsidR="00E62DDA" w:rsidRDefault="00087152" w:rsidP="00932567">
      <w:pPr>
        <w:rPr>
          <w:lang w:eastAsia="ja-JP"/>
        </w:rPr>
      </w:pPr>
      <w:r>
        <w:rPr>
          <w:lang w:eastAsia="ja-JP"/>
        </w:rPr>
        <w:t>T</w:t>
      </w:r>
      <w:r w:rsidRPr="00087152">
        <w:rPr>
          <w:lang w:eastAsia="ja-JP"/>
        </w:rPr>
        <w:t>he powers of an administrator are outlined in sections 46, 51 and 52 of the</w:t>
      </w:r>
      <w:r>
        <w:rPr>
          <w:lang w:eastAsia="ja-JP"/>
        </w:rPr>
        <w:t xml:space="preserve"> GAA.</w:t>
      </w:r>
      <w:r w:rsidR="005B027F">
        <w:rPr>
          <w:lang w:eastAsia="ja-JP"/>
        </w:rPr>
        <w:t xml:space="preserve"> </w:t>
      </w:r>
      <w:r w:rsidR="005B027F" w:rsidRPr="005B027F">
        <w:rPr>
          <w:lang w:eastAsia="ja-JP"/>
        </w:rPr>
        <w:t xml:space="preserve">The administration order </w:t>
      </w:r>
      <w:r w:rsidR="00E86628">
        <w:rPr>
          <w:lang w:eastAsia="ja-JP"/>
        </w:rPr>
        <w:t>states</w:t>
      </w:r>
      <w:r w:rsidR="005B027F" w:rsidRPr="005B027F">
        <w:rPr>
          <w:lang w:eastAsia="ja-JP"/>
        </w:rPr>
        <w:t xml:space="preserve"> what powers the administrator has and whether their powers are limited.</w:t>
      </w:r>
      <w:r w:rsidR="00323B74">
        <w:rPr>
          <w:lang w:eastAsia="ja-JP"/>
        </w:rPr>
        <w:t xml:space="preserve"> Orders can also be tailored to individual circumstances, such as restrictions on the sale of property</w:t>
      </w:r>
      <w:r w:rsidR="00C243B4">
        <w:rPr>
          <w:lang w:eastAsia="ja-JP"/>
        </w:rPr>
        <w:t xml:space="preserve"> or on taking legal action, or requirements for </w:t>
      </w:r>
      <w:r w:rsidR="00DC6354">
        <w:rPr>
          <w:lang w:eastAsia="ja-JP"/>
        </w:rPr>
        <w:t xml:space="preserve">the </w:t>
      </w:r>
      <w:r w:rsidR="00C356ED">
        <w:rPr>
          <w:lang w:eastAsia="ja-JP"/>
        </w:rPr>
        <w:t>administra</w:t>
      </w:r>
      <w:r w:rsidR="00DC6354">
        <w:rPr>
          <w:lang w:eastAsia="ja-JP"/>
        </w:rPr>
        <w:t>tor</w:t>
      </w:r>
      <w:r w:rsidR="00C243B4">
        <w:rPr>
          <w:lang w:eastAsia="ja-JP"/>
        </w:rPr>
        <w:t xml:space="preserve"> to seek further approval from VCAT </w:t>
      </w:r>
      <w:r w:rsidR="00C356ED">
        <w:rPr>
          <w:lang w:eastAsia="ja-JP"/>
        </w:rPr>
        <w:t>to take some actions.</w:t>
      </w:r>
    </w:p>
    <w:p w14:paraId="0BC2F0C7" w14:textId="62CC780B" w:rsidR="00575012" w:rsidRDefault="00575012" w:rsidP="00932567">
      <w:pPr>
        <w:rPr>
          <w:lang w:eastAsia="ja-JP"/>
        </w:rPr>
      </w:pPr>
      <w:r>
        <w:rPr>
          <w:lang w:eastAsia="ja-JP"/>
        </w:rPr>
        <w:t>Appendix A provides details concerning the duties of an administrator</w:t>
      </w:r>
      <w:r w:rsidR="00374D6E">
        <w:rPr>
          <w:lang w:eastAsia="ja-JP"/>
        </w:rPr>
        <w:t>.</w:t>
      </w:r>
    </w:p>
    <w:p w14:paraId="0D00779F" w14:textId="430FA2B2" w:rsidR="00B5572D" w:rsidRDefault="00B5572D" w:rsidP="004A352F">
      <w:pPr>
        <w:pStyle w:val="Heading2"/>
      </w:pPr>
      <w:bookmarkStart w:id="23" w:name="_Toc117064492"/>
      <w:bookmarkStart w:id="24" w:name="_Toc115704178"/>
      <w:bookmarkStart w:id="25" w:name="_Toc124917421"/>
      <w:r>
        <w:t xml:space="preserve">Appointment of </w:t>
      </w:r>
      <w:r w:rsidR="004A352F">
        <w:t>administrators</w:t>
      </w:r>
      <w:bookmarkEnd w:id="23"/>
      <w:bookmarkEnd w:id="24"/>
      <w:bookmarkEnd w:id="25"/>
    </w:p>
    <w:p w14:paraId="7C1CF148" w14:textId="1D46BC7B" w:rsidR="00AD041A" w:rsidRDefault="00AD041A" w:rsidP="00AD041A">
      <w:pPr>
        <w:rPr>
          <w:lang w:eastAsia="ja-JP"/>
        </w:rPr>
      </w:pPr>
      <w:r>
        <w:rPr>
          <w:lang w:eastAsia="ja-JP"/>
        </w:rPr>
        <w:t xml:space="preserve">VCAT may appoint as an administrator any person (individual </w:t>
      </w:r>
      <w:r w:rsidR="00B76347">
        <w:rPr>
          <w:lang w:eastAsia="ja-JP"/>
        </w:rPr>
        <w:t xml:space="preserve">over the age of 18 </w:t>
      </w:r>
      <w:r>
        <w:rPr>
          <w:lang w:eastAsia="ja-JP"/>
        </w:rPr>
        <w:t xml:space="preserve">or body corporate) </w:t>
      </w:r>
      <w:r w:rsidR="00B76347">
        <w:rPr>
          <w:lang w:eastAsia="ja-JP"/>
        </w:rPr>
        <w:t>if VCAT</w:t>
      </w:r>
      <w:r>
        <w:rPr>
          <w:lang w:eastAsia="ja-JP"/>
        </w:rPr>
        <w:t xml:space="preserve"> is satisfied that the</w:t>
      </w:r>
      <w:r w:rsidR="00B76347">
        <w:rPr>
          <w:lang w:eastAsia="ja-JP"/>
        </w:rPr>
        <w:t xml:space="preserve"> </w:t>
      </w:r>
      <w:r>
        <w:rPr>
          <w:lang w:eastAsia="ja-JP"/>
        </w:rPr>
        <w:t>person</w:t>
      </w:r>
      <w:r w:rsidR="00B76347">
        <w:rPr>
          <w:lang w:eastAsia="ja-JP"/>
        </w:rPr>
        <w:t>:</w:t>
      </w:r>
    </w:p>
    <w:p w14:paraId="1C162283" w14:textId="5B7A10A7" w:rsidR="00AD041A" w:rsidRDefault="00AD041A" w:rsidP="00B76347">
      <w:pPr>
        <w:pStyle w:val="ListParagraph"/>
        <w:numPr>
          <w:ilvl w:val="0"/>
          <w:numId w:val="3"/>
        </w:numPr>
        <w:spacing w:after="160"/>
        <w:rPr>
          <w:lang w:eastAsia="ja-JP"/>
        </w:rPr>
      </w:pPr>
      <w:r>
        <w:rPr>
          <w:lang w:eastAsia="ja-JP"/>
        </w:rPr>
        <w:t>will act in accordance with the duties set out</w:t>
      </w:r>
      <w:r w:rsidR="00B76347">
        <w:rPr>
          <w:lang w:eastAsia="ja-JP"/>
        </w:rPr>
        <w:t xml:space="preserve"> </w:t>
      </w:r>
      <w:r>
        <w:rPr>
          <w:lang w:eastAsia="ja-JP"/>
        </w:rPr>
        <w:t xml:space="preserve">in </w:t>
      </w:r>
      <w:r w:rsidR="00B76347">
        <w:rPr>
          <w:lang w:eastAsia="ja-JP"/>
        </w:rPr>
        <w:t>the GAA</w:t>
      </w:r>
    </w:p>
    <w:p w14:paraId="41853EFD" w14:textId="11696A4C" w:rsidR="00AD041A" w:rsidRDefault="00AD041A" w:rsidP="00B76347">
      <w:pPr>
        <w:pStyle w:val="ListParagraph"/>
        <w:numPr>
          <w:ilvl w:val="0"/>
          <w:numId w:val="3"/>
        </w:numPr>
        <w:spacing w:after="160"/>
        <w:rPr>
          <w:lang w:eastAsia="ja-JP"/>
        </w:rPr>
      </w:pPr>
      <w:r>
        <w:rPr>
          <w:lang w:eastAsia="ja-JP"/>
        </w:rPr>
        <w:t>is not in a position where the person</w:t>
      </w:r>
      <w:r w:rsidR="00D83245">
        <w:rPr>
          <w:lang w:eastAsia="ja-JP"/>
        </w:rPr>
        <w:t>’</w:t>
      </w:r>
      <w:r>
        <w:rPr>
          <w:lang w:eastAsia="ja-JP"/>
        </w:rPr>
        <w:t>s</w:t>
      </w:r>
      <w:r w:rsidR="00B76347">
        <w:rPr>
          <w:lang w:eastAsia="ja-JP"/>
        </w:rPr>
        <w:t xml:space="preserve"> </w:t>
      </w:r>
      <w:r>
        <w:rPr>
          <w:lang w:eastAsia="ja-JP"/>
        </w:rPr>
        <w:t>interests conflict, or may conflict, with the</w:t>
      </w:r>
      <w:r w:rsidR="00B76347">
        <w:rPr>
          <w:lang w:eastAsia="ja-JP"/>
        </w:rPr>
        <w:t xml:space="preserve"> </w:t>
      </w:r>
      <w:r>
        <w:rPr>
          <w:lang w:eastAsia="ja-JP"/>
        </w:rPr>
        <w:t>interests of the proposed represented person</w:t>
      </w:r>
    </w:p>
    <w:p w14:paraId="2A4133A2" w14:textId="1A98A802" w:rsidR="00AD041A" w:rsidRDefault="00AD041A" w:rsidP="00B76347">
      <w:pPr>
        <w:pStyle w:val="ListParagraph"/>
        <w:numPr>
          <w:ilvl w:val="0"/>
          <w:numId w:val="3"/>
        </w:numPr>
        <w:spacing w:after="160"/>
        <w:rPr>
          <w:lang w:eastAsia="ja-JP"/>
        </w:rPr>
      </w:pPr>
      <w:r>
        <w:rPr>
          <w:lang w:eastAsia="ja-JP"/>
        </w:rPr>
        <w:t>is a suitable person to act as the</w:t>
      </w:r>
      <w:r w:rsidR="00B76347">
        <w:rPr>
          <w:lang w:eastAsia="ja-JP"/>
        </w:rPr>
        <w:t xml:space="preserve"> </w:t>
      </w:r>
      <w:r>
        <w:rPr>
          <w:lang w:eastAsia="ja-JP"/>
        </w:rPr>
        <w:t>administrator in relation to the proposed</w:t>
      </w:r>
      <w:r w:rsidR="00B76347">
        <w:rPr>
          <w:lang w:eastAsia="ja-JP"/>
        </w:rPr>
        <w:t xml:space="preserve"> </w:t>
      </w:r>
      <w:r>
        <w:rPr>
          <w:lang w:eastAsia="ja-JP"/>
        </w:rPr>
        <w:t>represented person</w:t>
      </w:r>
    </w:p>
    <w:p w14:paraId="52F58776" w14:textId="7B4583E1" w:rsidR="00AD041A" w:rsidRDefault="00AD041A" w:rsidP="00B76347">
      <w:pPr>
        <w:pStyle w:val="ListParagraph"/>
        <w:numPr>
          <w:ilvl w:val="0"/>
          <w:numId w:val="3"/>
        </w:numPr>
        <w:spacing w:after="160"/>
        <w:rPr>
          <w:lang w:eastAsia="ja-JP"/>
        </w:rPr>
      </w:pPr>
      <w:r>
        <w:rPr>
          <w:lang w:eastAsia="ja-JP"/>
        </w:rPr>
        <w:t>has sufficient expertise to make decisions</w:t>
      </w:r>
      <w:r w:rsidR="00B76347">
        <w:rPr>
          <w:lang w:eastAsia="ja-JP"/>
        </w:rPr>
        <w:t xml:space="preserve"> </w:t>
      </w:r>
      <w:r>
        <w:rPr>
          <w:lang w:eastAsia="ja-JP"/>
        </w:rPr>
        <w:t>about any financial matter to be specified</w:t>
      </w:r>
      <w:r w:rsidR="00B76347">
        <w:rPr>
          <w:lang w:eastAsia="ja-JP"/>
        </w:rPr>
        <w:t xml:space="preserve"> </w:t>
      </w:r>
      <w:r>
        <w:rPr>
          <w:lang w:eastAsia="ja-JP"/>
        </w:rPr>
        <w:t>in the administration order</w:t>
      </w:r>
      <w:r w:rsidR="00B76347">
        <w:rPr>
          <w:lang w:eastAsia="ja-JP"/>
        </w:rPr>
        <w:t>.</w:t>
      </w:r>
    </w:p>
    <w:p w14:paraId="777D1125" w14:textId="6ADB1C34" w:rsidR="00FC2D66" w:rsidRDefault="008C362E" w:rsidP="00FC2D66">
      <w:pPr>
        <w:rPr>
          <w:lang w:eastAsia="ja-JP"/>
        </w:rPr>
      </w:pPr>
      <w:r>
        <w:rPr>
          <w:lang w:eastAsia="ja-JP"/>
        </w:rPr>
        <w:lastRenderedPageBreak/>
        <w:t>Often the a</w:t>
      </w:r>
      <w:r w:rsidR="001A705A">
        <w:rPr>
          <w:lang w:eastAsia="ja-JP"/>
        </w:rPr>
        <w:t xml:space="preserve">dministrator </w:t>
      </w:r>
      <w:r>
        <w:rPr>
          <w:lang w:eastAsia="ja-JP"/>
        </w:rPr>
        <w:t xml:space="preserve">will be a friend or relative of the represented person. </w:t>
      </w:r>
      <w:r w:rsidR="00FC2D66">
        <w:rPr>
          <w:lang w:eastAsia="ja-JP"/>
        </w:rPr>
        <w:t xml:space="preserve">VCAT may also appoint as </w:t>
      </w:r>
      <w:r w:rsidR="00745CC6">
        <w:rPr>
          <w:lang w:eastAsia="ja-JP"/>
        </w:rPr>
        <w:t xml:space="preserve">an </w:t>
      </w:r>
      <w:r w:rsidR="00FC2D66">
        <w:rPr>
          <w:lang w:eastAsia="ja-JP"/>
        </w:rPr>
        <w:t>administrator</w:t>
      </w:r>
      <w:r w:rsidR="00D46D24">
        <w:rPr>
          <w:lang w:eastAsia="ja-JP"/>
        </w:rPr>
        <w:t xml:space="preserve"> any other person or entity that meets the above criteria, and this is often</w:t>
      </w:r>
      <w:r w:rsidR="00461C93">
        <w:rPr>
          <w:lang w:eastAsia="ja-JP"/>
        </w:rPr>
        <w:t xml:space="preserve"> (but not necessarily limited to)</w:t>
      </w:r>
      <w:r w:rsidR="00D46D24">
        <w:rPr>
          <w:lang w:eastAsia="ja-JP"/>
        </w:rPr>
        <w:t>:</w:t>
      </w:r>
    </w:p>
    <w:p w14:paraId="5BEBAEBB" w14:textId="7BAC163C" w:rsidR="001A705A" w:rsidRDefault="00FC2D66" w:rsidP="00FC2D66">
      <w:pPr>
        <w:pStyle w:val="ListParagraph"/>
        <w:numPr>
          <w:ilvl w:val="0"/>
          <w:numId w:val="3"/>
        </w:numPr>
        <w:spacing w:after="160"/>
        <w:rPr>
          <w:lang w:eastAsia="ja-JP"/>
        </w:rPr>
      </w:pPr>
      <w:r>
        <w:rPr>
          <w:lang w:eastAsia="ja-JP"/>
        </w:rPr>
        <w:t xml:space="preserve">a </w:t>
      </w:r>
      <w:r w:rsidR="001A705A">
        <w:rPr>
          <w:lang w:eastAsia="ja-JP"/>
        </w:rPr>
        <w:t>solicitor</w:t>
      </w:r>
    </w:p>
    <w:p w14:paraId="7B9B2C19" w14:textId="4F128E83" w:rsidR="001A705A" w:rsidRDefault="00FC2D66" w:rsidP="004A352F">
      <w:pPr>
        <w:pStyle w:val="ListParagraph"/>
        <w:numPr>
          <w:ilvl w:val="0"/>
          <w:numId w:val="3"/>
        </w:numPr>
        <w:spacing w:after="160"/>
        <w:rPr>
          <w:lang w:eastAsia="ja-JP"/>
        </w:rPr>
      </w:pPr>
      <w:r>
        <w:rPr>
          <w:lang w:eastAsia="ja-JP"/>
        </w:rPr>
        <w:t xml:space="preserve">an </w:t>
      </w:r>
      <w:r w:rsidR="001A705A">
        <w:rPr>
          <w:lang w:eastAsia="ja-JP"/>
        </w:rPr>
        <w:t>accountant</w:t>
      </w:r>
    </w:p>
    <w:p w14:paraId="6E1901CA" w14:textId="141FAEF8" w:rsidR="00BF6136" w:rsidRDefault="001A705A" w:rsidP="00FC2D66">
      <w:pPr>
        <w:pStyle w:val="ListParagraph"/>
        <w:numPr>
          <w:ilvl w:val="0"/>
          <w:numId w:val="3"/>
        </w:numPr>
        <w:spacing w:after="160"/>
        <w:rPr>
          <w:lang w:eastAsia="ja-JP"/>
        </w:rPr>
      </w:pPr>
      <w:r>
        <w:rPr>
          <w:lang w:eastAsia="ja-JP"/>
        </w:rPr>
        <w:t>State Trustees Limited</w:t>
      </w:r>
      <w:r w:rsidR="0035225D">
        <w:rPr>
          <w:lang w:eastAsia="ja-JP"/>
        </w:rPr>
        <w:t xml:space="preserve"> (STL)</w:t>
      </w:r>
      <w:r w:rsidR="0035225D">
        <w:rPr>
          <w:rStyle w:val="FootnoteReference"/>
          <w:lang w:eastAsia="ja-JP"/>
        </w:rPr>
        <w:footnoteReference w:id="2"/>
      </w:r>
    </w:p>
    <w:p w14:paraId="2979AD66" w14:textId="3FB41E8F" w:rsidR="00B5572D" w:rsidRDefault="001A705A" w:rsidP="00FC2D66">
      <w:pPr>
        <w:pStyle w:val="ListParagraph"/>
        <w:numPr>
          <w:ilvl w:val="0"/>
          <w:numId w:val="3"/>
        </w:numPr>
        <w:spacing w:after="160"/>
        <w:rPr>
          <w:lang w:eastAsia="ja-JP"/>
        </w:rPr>
      </w:pPr>
      <w:r>
        <w:rPr>
          <w:lang w:eastAsia="ja-JP"/>
        </w:rPr>
        <w:t>a private trustee company</w:t>
      </w:r>
      <w:r w:rsidR="00BF6136">
        <w:rPr>
          <w:lang w:eastAsia="ja-JP"/>
        </w:rPr>
        <w:t xml:space="preserve"> (within the meaning of section 601RAA of the Corporations Act)</w:t>
      </w:r>
      <w:r>
        <w:rPr>
          <w:lang w:eastAsia="ja-JP"/>
        </w:rPr>
        <w:t>.</w:t>
      </w:r>
    </w:p>
    <w:p w14:paraId="46D81C8B" w14:textId="5F2E7392" w:rsidR="00D46D24" w:rsidRDefault="00D46D24" w:rsidP="00D46D24">
      <w:pPr>
        <w:rPr>
          <w:lang w:eastAsia="ja-JP"/>
        </w:rPr>
      </w:pPr>
      <w:r>
        <w:rPr>
          <w:lang w:eastAsia="ja-JP"/>
        </w:rPr>
        <w:t xml:space="preserve">In practical terms, </w:t>
      </w:r>
      <w:r w:rsidR="003A58E5">
        <w:rPr>
          <w:lang w:eastAsia="ja-JP"/>
        </w:rPr>
        <w:t>solicitors</w:t>
      </w:r>
      <w:r>
        <w:rPr>
          <w:lang w:eastAsia="ja-JP"/>
        </w:rPr>
        <w:t xml:space="preserve"> and accountants are often appointed where the matters to be administered include </w:t>
      </w:r>
      <w:r w:rsidR="003A58E5">
        <w:rPr>
          <w:lang w:eastAsia="ja-JP"/>
        </w:rPr>
        <w:t>specific legal or financial issues. In theory, any professional services business could be considered to be a suitable entity.</w:t>
      </w:r>
    </w:p>
    <w:p w14:paraId="7544C133" w14:textId="5B13FB4E" w:rsidR="00A41164" w:rsidRDefault="00AC551A" w:rsidP="00D46D24">
      <w:pPr>
        <w:rPr>
          <w:lang w:eastAsia="ja-JP"/>
        </w:rPr>
      </w:pPr>
      <w:r>
        <w:rPr>
          <w:lang w:eastAsia="ja-JP"/>
        </w:rPr>
        <w:t>During 2020</w:t>
      </w:r>
      <w:r w:rsidR="00B805B8">
        <w:rPr>
          <w:lang w:eastAsia="ja-JP"/>
        </w:rPr>
        <w:t>-</w:t>
      </w:r>
      <w:r>
        <w:rPr>
          <w:lang w:eastAsia="ja-JP"/>
        </w:rPr>
        <w:t>21</w:t>
      </w:r>
      <w:r w:rsidR="00956C76">
        <w:rPr>
          <w:lang w:eastAsia="ja-JP"/>
        </w:rPr>
        <w:t xml:space="preserve">, there were </w:t>
      </w:r>
      <w:r w:rsidR="00CE105B">
        <w:rPr>
          <w:lang w:eastAsia="ja-JP"/>
        </w:rPr>
        <w:t>2,037</w:t>
      </w:r>
      <w:r w:rsidR="00956C76">
        <w:rPr>
          <w:lang w:eastAsia="ja-JP"/>
        </w:rPr>
        <w:t xml:space="preserve"> </w:t>
      </w:r>
      <w:r w:rsidR="001A1148">
        <w:rPr>
          <w:lang w:eastAsia="ja-JP"/>
        </w:rPr>
        <w:t xml:space="preserve">administration </w:t>
      </w:r>
      <w:r w:rsidR="00956C76">
        <w:rPr>
          <w:lang w:eastAsia="ja-JP"/>
        </w:rPr>
        <w:t>orders made under the GAA. Of these</w:t>
      </w:r>
      <w:r w:rsidR="00A41164">
        <w:rPr>
          <w:lang w:eastAsia="ja-JP"/>
        </w:rPr>
        <w:t>,</w:t>
      </w:r>
      <w:r w:rsidR="00956C76">
        <w:rPr>
          <w:lang w:eastAsia="ja-JP"/>
        </w:rPr>
        <w:t xml:space="preserve"> </w:t>
      </w:r>
      <w:r w:rsidR="00CE105B">
        <w:rPr>
          <w:lang w:eastAsia="ja-JP"/>
        </w:rPr>
        <w:t>605</w:t>
      </w:r>
      <w:r w:rsidR="00956C76">
        <w:rPr>
          <w:lang w:eastAsia="ja-JP"/>
        </w:rPr>
        <w:t xml:space="preserve"> orders </w:t>
      </w:r>
      <w:r w:rsidR="00FF6F6D">
        <w:rPr>
          <w:lang w:eastAsia="ja-JP"/>
        </w:rPr>
        <w:t>(</w:t>
      </w:r>
      <w:r w:rsidR="00CE105B" w:rsidRPr="00F95C36">
        <w:rPr>
          <w:lang w:eastAsia="ja-JP"/>
        </w:rPr>
        <w:t>30</w:t>
      </w:r>
      <w:r w:rsidR="00FF6F6D" w:rsidRPr="00F95C36">
        <w:t xml:space="preserve"> </w:t>
      </w:r>
      <w:r w:rsidR="00A43F18" w:rsidRPr="00F95C36">
        <w:t xml:space="preserve">per </w:t>
      </w:r>
      <w:r w:rsidR="00A43F18" w:rsidRPr="007919B6">
        <w:t>cent</w:t>
      </w:r>
      <w:r w:rsidR="00FF6F6D">
        <w:rPr>
          <w:lang w:eastAsia="ja-JP"/>
        </w:rPr>
        <w:t>)</w:t>
      </w:r>
      <w:r w:rsidR="00A43F18">
        <w:rPr>
          <w:lang w:eastAsia="ja-JP"/>
        </w:rPr>
        <w:t xml:space="preserve"> appointed</w:t>
      </w:r>
      <w:r w:rsidR="00956C76">
        <w:rPr>
          <w:lang w:eastAsia="ja-JP"/>
        </w:rPr>
        <w:t xml:space="preserve"> </w:t>
      </w:r>
      <w:r w:rsidR="00A43F18">
        <w:rPr>
          <w:lang w:eastAsia="ja-JP"/>
        </w:rPr>
        <w:t>STL as the admi</w:t>
      </w:r>
      <w:r w:rsidR="00FA025B">
        <w:rPr>
          <w:lang w:eastAsia="ja-JP"/>
        </w:rPr>
        <w:t>nistrator</w:t>
      </w:r>
      <w:r w:rsidR="00956C76">
        <w:rPr>
          <w:lang w:eastAsia="ja-JP"/>
        </w:rPr>
        <w:t xml:space="preserve"> </w:t>
      </w:r>
      <w:r w:rsidR="00A41164">
        <w:rPr>
          <w:lang w:eastAsia="ja-JP"/>
        </w:rPr>
        <w:t>and</w:t>
      </w:r>
      <w:r w:rsidR="00956C76">
        <w:rPr>
          <w:lang w:eastAsia="ja-JP"/>
        </w:rPr>
        <w:t xml:space="preserve"> </w:t>
      </w:r>
      <w:r w:rsidR="00CE105B">
        <w:rPr>
          <w:lang w:eastAsia="ja-JP"/>
        </w:rPr>
        <w:t>1,432</w:t>
      </w:r>
      <w:r w:rsidR="00956C76">
        <w:rPr>
          <w:lang w:eastAsia="ja-JP"/>
        </w:rPr>
        <w:t xml:space="preserve"> </w:t>
      </w:r>
      <w:r w:rsidR="0084404E">
        <w:rPr>
          <w:lang w:eastAsia="ja-JP"/>
        </w:rPr>
        <w:t xml:space="preserve">(70 per cent) </w:t>
      </w:r>
      <w:r w:rsidR="00956C76">
        <w:rPr>
          <w:lang w:eastAsia="ja-JP"/>
        </w:rPr>
        <w:t xml:space="preserve">administration orders were made </w:t>
      </w:r>
      <w:r w:rsidR="009E784A">
        <w:rPr>
          <w:lang w:eastAsia="ja-JP"/>
        </w:rPr>
        <w:t xml:space="preserve">appointing </w:t>
      </w:r>
      <w:r w:rsidR="00CE105B">
        <w:rPr>
          <w:lang w:eastAsia="ja-JP"/>
        </w:rPr>
        <w:t>‘</w:t>
      </w:r>
      <w:r w:rsidR="00CE105B" w:rsidRPr="00CE105B">
        <w:rPr>
          <w:lang w:eastAsia="ja-JP"/>
        </w:rPr>
        <w:t>private</w:t>
      </w:r>
      <w:r w:rsidR="00CE105B">
        <w:rPr>
          <w:lang w:eastAsia="ja-JP"/>
        </w:rPr>
        <w:t>’</w:t>
      </w:r>
      <w:r w:rsidR="00CE105B" w:rsidRPr="00EA1AF7">
        <w:rPr>
          <w:i/>
        </w:rPr>
        <w:t xml:space="preserve"> </w:t>
      </w:r>
      <w:r w:rsidR="00956C76">
        <w:rPr>
          <w:lang w:eastAsia="ja-JP"/>
        </w:rPr>
        <w:t>administrators.</w:t>
      </w:r>
      <w:r>
        <w:rPr>
          <w:rStyle w:val="FootnoteReference"/>
          <w:lang w:eastAsia="ja-JP"/>
        </w:rPr>
        <w:footnoteReference w:id="3"/>
      </w:r>
      <w:r w:rsidR="00BF2AA8">
        <w:rPr>
          <w:lang w:eastAsia="ja-JP"/>
        </w:rPr>
        <w:t xml:space="preserve"> </w:t>
      </w:r>
      <w:r w:rsidR="00F95C36">
        <w:rPr>
          <w:lang w:eastAsia="ja-JP"/>
        </w:rPr>
        <w:t>While t</w:t>
      </w:r>
      <w:r w:rsidR="00CE105B">
        <w:rPr>
          <w:lang w:eastAsia="ja-JP"/>
        </w:rPr>
        <w:t>he vast majority of</w:t>
      </w:r>
      <w:r w:rsidR="00956C76">
        <w:rPr>
          <w:lang w:eastAsia="ja-JP"/>
        </w:rPr>
        <w:t xml:space="preserve"> </w:t>
      </w:r>
      <w:r w:rsidR="00CE105B">
        <w:rPr>
          <w:lang w:eastAsia="ja-JP"/>
        </w:rPr>
        <w:t xml:space="preserve">‘private’ </w:t>
      </w:r>
      <w:r w:rsidR="00956C76">
        <w:rPr>
          <w:lang w:eastAsia="ja-JP"/>
        </w:rPr>
        <w:t>administrator</w:t>
      </w:r>
      <w:r w:rsidR="009E784A">
        <w:rPr>
          <w:lang w:eastAsia="ja-JP"/>
        </w:rPr>
        <w:t>s</w:t>
      </w:r>
      <w:r w:rsidR="00956C76">
        <w:rPr>
          <w:lang w:eastAsia="ja-JP"/>
        </w:rPr>
        <w:t xml:space="preserve"> are friends or family</w:t>
      </w:r>
      <w:r w:rsidR="00F95C36">
        <w:rPr>
          <w:lang w:eastAsia="ja-JP"/>
        </w:rPr>
        <w:t>,</w:t>
      </w:r>
      <w:r w:rsidR="00956C76">
        <w:rPr>
          <w:lang w:eastAsia="ja-JP"/>
        </w:rPr>
        <w:t xml:space="preserve"> a small proportion of </w:t>
      </w:r>
      <w:r w:rsidR="00CE105B">
        <w:rPr>
          <w:lang w:eastAsia="ja-JP"/>
        </w:rPr>
        <w:t>private</w:t>
      </w:r>
      <w:r w:rsidR="00956C76">
        <w:rPr>
          <w:lang w:eastAsia="ja-JP"/>
        </w:rPr>
        <w:t xml:space="preserve"> </w:t>
      </w:r>
      <w:r w:rsidR="00C901A7">
        <w:rPr>
          <w:lang w:eastAsia="ja-JP"/>
        </w:rPr>
        <w:t xml:space="preserve">administration </w:t>
      </w:r>
      <w:r w:rsidR="00CE105B">
        <w:rPr>
          <w:lang w:eastAsia="ja-JP"/>
        </w:rPr>
        <w:t xml:space="preserve">orders </w:t>
      </w:r>
      <w:r w:rsidR="00A41164">
        <w:rPr>
          <w:lang w:eastAsia="ja-JP"/>
        </w:rPr>
        <w:t>are</w:t>
      </w:r>
      <w:r w:rsidR="00CE105B">
        <w:rPr>
          <w:lang w:eastAsia="ja-JP"/>
        </w:rPr>
        <w:t xml:space="preserve"> made for </w:t>
      </w:r>
      <w:r w:rsidR="00A41164">
        <w:rPr>
          <w:lang w:eastAsia="ja-JP"/>
        </w:rPr>
        <w:t>professional administrators</w:t>
      </w:r>
      <w:r w:rsidR="00442E73">
        <w:rPr>
          <w:lang w:eastAsia="ja-JP"/>
        </w:rPr>
        <w:t>—</w:t>
      </w:r>
      <w:r w:rsidR="00C87EC3">
        <w:rPr>
          <w:lang w:eastAsia="ja-JP"/>
        </w:rPr>
        <w:t>around 40 to 70 per year.</w:t>
      </w:r>
      <w:r w:rsidR="0091183F">
        <w:rPr>
          <w:lang w:eastAsia="ja-JP"/>
        </w:rPr>
        <w:t xml:space="preserve"> This number includes </w:t>
      </w:r>
      <w:r w:rsidR="00845194">
        <w:rPr>
          <w:lang w:eastAsia="ja-JP"/>
        </w:rPr>
        <w:t xml:space="preserve">licensed </w:t>
      </w:r>
      <w:r w:rsidR="0091183F">
        <w:rPr>
          <w:lang w:eastAsia="ja-JP"/>
        </w:rPr>
        <w:t>trustee companies, whose core business is managing peoples’ financial affairs.</w:t>
      </w:r>
      <w:r w:rsidR="00215052">
        <w:rPr>
          <w:lang w:eastAsia="ja-JP"/>
        </w:rPr>
        <w:t xml:space="preserve"> The number of </w:t>
      </w:r>
      <w:r w:rsidR="004022B8">
        <w:rPr>
          <w:lang w:eastAsia="ja-JP"/>
        </w:rPr>
        <w:t xml:space="preserve">administration </w:t>
      </w:r>
      <w:r w:rsidR="00215052">
        <w:rPr>
          <w:lang w:eastAsia="ja-JP"/>
        </w:rPr>
        <w:t>orders that appoint a professional administrator such as a solicitor or accountant is</w:t>
      </w:r>
      <w:r w:rsidR="004022B8">
        <w:rPr>
          <w:lang w:eastAsia="ja-JP"/>
        </w:rPr>
        <w:t xml:space="preserve"> in the order of 25 to 30 each</w:t>
      </w:r>
      <w:r w:rsidR="00215052">
        <w:rPr>
          <w:lang w:eastAsia="ja-JP"/>
        </w:rPr>
        <w:t xml:space="preserve"> year.</w:t>
      </w:r>
    </w:p>
    <w:p w14:paraId="2225F0ED" w14:textId="1A113A04" w:rsidR="006C5D2E" w:rsidRDefault="00FD5D54" w:rsidP="00D46D24">
      <w:pPr>
        <w:rPr>
          <w:lang w:eastAsia="ja-JP"/>
        </w:rPr>
      </w:pPr>
      <w:r>
        <w:rPr>
          <w:lang w:eastAsia="ja-JP"/>
        </w:rPr>
        <w:t>A</w:t>
      </w:r>
      <w:r w:rsidR="009125D5">
        <w:rPr>
          <w:lang w:eastAsia="ja-JP"/>
        </w:rPr>
        <w:t>ppointment</w:t>
      </w:r>
      <w:r>
        <w:rPr>
          <w:lang w:eastAsia="ja-JP"/>
        </w:rPr>
        <w:t xml:space="preserve">s of </w:t>
      </w:r>
      <w:r w:rsidR="001B2BB5">
        <w:rPr>
          <w:lang w:eastAsia="ja-JP"/>
        </w:rPr>
        <w:t>administrators</w:t>
      </w:r>
      <w:r>
        <w:rPr>
          <w:lang w:eastAsia="ja-JP"/>
        </w:rPr>
        <w:t xml:space="preserve"> other than </w:t>
      </w:r>
      <w:r w:rsidR="001B2BB5">
        <w:rPr>
          <w:lang w:eastAsia="ja-JP"/>
        </w:rPr>
        <w:t>family members</w:t>
      </w:r>
      <w:r w:rsidR="009125D5">
        <w:rPr>
          <w:lang w:eastAsia="ja-JP"/>
        </w:rPr>
        <w:t xml:space="preserve"> </w:t>
      </w:r>
      <w:r w:rsidR="001B2BB5">
        <w:rPr>
          <w:lang w:eastAsia="ja-JP"/>
        </w:rPr>
        <w:t xml:space="preserve">usually </w:t>
      </w:r>
      <w:r w:rsidR="00E86628">
        <w:rPr>
          <w:lang w:eastAsia="ja-JP"/>
        </w:rPr>
        <w:t xml:space="preserve">occur </w:t>
      </w:r>
      <w:r w:rsidR="009125D5">
        <w:rPr>
          <w:lang w:eastAsia="ja-JP"/>
        </w:rPr>
        <w:t xml:space="preserve">when there is </w:t>
      </w:r>
      <w:r w:rsidR="001B2BB5">
        <w:rPr>
          <w:lang w:eastAsia="ja-JP"/>
        </w:rPr>
        <w:t xml:space="preserve">no suitable family member or close family friend available, or </w:t>
      </w:r>
      <w:r w:rsidR="00745CC6">
        <w:rPr>
          <w:lang w:eastAsia="ja-JP"/>
        </w:rPr>
        <w:t>where</w:t>
      </w:r>
      <w:r w:rsidR="009125D5">
        <w:rPr>
          <w:lang w:eastAsia="ja-JP"/>
        </w:rPr>
        <w:t xml:space="preserve"> family members </w:t>
      </w:r>
      <w:r w:rsidR="00745CC6">
        <w:rPr>
          <w:lang w:eastAsia="ja-JP"/>
        </w:rPr>
        <w:t xml:space="preserve">are in dispute </w:t>
      </w:r>
      <w:r w:rsidR="009125D5">
        <w:rPr>
          <w:lang w:eastAsia="ja-JP"/>
        </w:rPr>
        <w:t>and an impartial third party is required.</w:t>
      </w:r>
      <w:r w:rsidR="007919B6">
        <w:rPr>
          <w:lang w:eastAsia="ja-JP"/>
        </w:rPr>
        <w:t xml:space="preserve"> In this sense, some administrators are appointed as ‘circuit breaker’ administrators to negotiate, manage and contend with complex family dynamics and the challenging needs of some represented persons.</w:t>
      </w:r>
    </w:p>
    <w:p w14:paraId="299F1BCF" w14:textId="77777777" w:rsidR="00F95C36" w:rsidRDefault="006C5D2E" w:rsidP="0091183F">
      <w:r w:rsidRPr="0091183F">
        <w:t>When making the administration order</w:t>
      </w:r>
      <w:r w:rsidR="00681A85" w:rsidRPr="0091183F">
        <w:t>,</w:t>
      </w:r>
      <w:r w:rsidR="009125D5" w:rsidRPr="0091183F">
        <w:t xml:space="preserve"> there may</w:t>
      </w:r>
      <w:r w:rsidR="00C87EC3" w:rsidRPr="0091183F">
        <w:t xml:space="preserve"> </w:t>
      </w:r>
      <w:r w:rsidR="009125D5" w:rsidRPr="0091183F">
        <w:t>be legal issues to resolve (at least in the early part of the administration) and lawyers are often appointed.</w:t>
      </w:r>
      <w:r w:rsidR="00C87EC3" w:rsidRPr="0091183F">
        <w:t xml:space="preserve"> Accountants or financial advisors may also be appointed</w:t>
      </w:r>
      <w:r w:rsidR="00232A08" w:rsidRPr="0091183F">
        <w:t>, particularly for larger estates</w:t>
      </w:r>
      <w:r w:rsidR="00ED74DB" w:rsidRPr="0091183F">
        <w:t>. Sometimes,</w:t>
      </w:r>
      <w:r w:rsidR="00C87EC3" w:rsidRPr="0091183F">
        <w:t xml:space="preserve"> a </w:t>
      </w:r>
      <w:r w:rsidR="00C03697" w:rsidRPr="0091183F">
        <w:t xml:space="preserve">practitioner such as </w:t>
      </w:r>
      <w:r w:rsidR="00FF31C0" w:rsidRPr="0091183F">
        <w:t>a</w:t>
      </w:r>
      <w:r w:rsidR="00636FAF" w:rsidRPr="0091183F">
        <w:t xml:space="preserve"> financial advisor </w:t>
      </w:r>
      <w:r w:rsidR="00C03697" w:rsidRPr="0091183F">
        <w:t>may be appointed because they have been a trusted</w:t>
      </w:r>
      <w:r w:rsidR="00DB7D98" w:rsidRPr="0091183F">
        <w:t xml:space="preserve"> </w:t>
      </w:r>
      <w:r w:rsidR="00C87EC3" w:rsidRPr="0091183F">
        <w:t xml:space="preserve">professional </w:t>
      </w:r>
      <w:r w:rsidR="00DB7D98" w:rsidRPr="0091183F">
        <w:t>to the represented person or family prior to the order being made</w:t>
      </w:r>
      <w:r w:rsidR="00C87EC3" w:rsidRPr="0091183F">
        <w:t xml:space="preserve"> and the </w:t>
      </w:r>
      <w:r w:rsidR="004C5D20" w:rsidRPr="0091183F">
        <w:t>family wishe</w:t>
      </w:r>
      <w:r w:rsidR="00636FAF" w:rsidRPr="0091183F">
        <w:t>s</w:t>
      </w:r>
      <w:r w:rsidR="004C5D20" w:rsidRPr="0091183F">
        <w:t xml:space="preserve"> that relationship to continue</w:t>
      </w:r>
      <w:r w:rsidR="00636FAF" w:rsidRPr="0091183F">
        <w:t>.</w:t>
      </w:r>
      <w:bookmarkStart w:id="26" w:name="_Toc117064493"/>
      <w:bookmarkStart w:id="27" w:name="_Toc115704179"/>
    </w:p>
    <w:p w14:paraId="15D10613" w14:textId="611CD187" w:rsidR="00227329" w:rsidRPr="0091183F" w:rsidRDefault="00E07331" w:rsidP="00F95C36">
      <w:pPr>
        <w:pStyle w:val="Heading2"/>
      </w:pPr>
      <w:bookmarkStart w:id="28" w:name="_Toc124917422"/>
      <w:r w:rsidRPr="0091183F">
        <w:t>Remuneration</w:t>
      </w:r>
      <w:r w:rsidR="00227329" w:rsidRPr="0091183F">
        <w:t xml:space="preserve"> of </w:t>
      </w:r>
      <w:r w:rsidRPr="0091183F">
        <w:t>administrators</w:t>
      </w:r>
      <w:bookmarkEnd w:id="26"/>
      <w:bookmarkEnd w:id="27"/>
      <w:bookmarkEnd w:id="28"/>
    </w:p>
    <w:p w14:paraId="6C0210B7" w14:textId="77777777" w:rsidR="007D091A" w:rsidRDefault="007D091A" w:rsidP="007D091A">
      <w:pPr>
        <w:rPr>
          <w:lang w:eastAsia="ja-JP"/>
        </w:rPr>
      </w:pPr>
      <w:r>
        <w:rPr>
          <w:lang w:eastAsia="ja-JP"/>
        </w:rPr>
        <w:t>An administrator is not entitled to receive any fee, remuneration or other reward from the estate of a represented person or missing person for acting as administrator unless:</w:t>
      </w:r>
    </w:p>
    <w:p w14:paraId="327B3517" w14:textId="400CC016" w:rsidR="00E07331" w:rsidRDefault="007D091A" w:rsidP="006D338E">
      <w:pPr>
        <w:pStyle w:val="ListParagraph"/>
        <w:numPr>
          <w:ilvl w:val="0"/>
          <w:numId w:val="3"/>
        </w:numPr>
        <w:spacing w:after="160"/>
        <w:rPr>
          <w:lang w:eastAsia="ja-JP"/>
        </w:rPr>
      </w:pPr>
      <w:r>
        <w:rPr>
          <w:lang w:eastAsia="ja-JP"/>
        </w:rPr>
        <w:t>VCAT otherwise specifies in the administration order, or</w:t>
      </w:r>
    </w:p>
    <w:p w14:paraId="49A745B4" w14:textId="4BC7FFEE" w:rsidR="007D091A" w:rsidRDefault="00745CC6" w:rsidP="007D091A">
      <w:pPr>
        <w:pStyle w:val="ListParagraph"/>
        <w:numPr>
          <w:ilvl w:val="0"/>
          <w:numId w:val="3"/>
        </w:numPr>
        <w:spacing w:after="160"/>
        <w:rPr>
          <w:lang w:eastAsia="ja-JP"/>
        </w:rPr>
      </w:pPr>
      <w:r>
        <w:rPr>
          <w:lang w:eastAsia="ja-JP"/>
        </w:rPr>
        <w:t>t</w:t>
      </w:r>
      <w:r w:rsidR="006D338E">
        <w:rPr>
          <w:lang w:eastAsia="ja-JP"/>
        </w:rPr>
        <w:t xml:space="preserve">he administrator is a </w:t>
      </w:r>
      <w:r w:rsidR="007D091A">
        <w:rPr>
          <w:lang w:eastAsia="ja-JP"/>
        </w:rPr>
        <w:t>person who carries</w:t>
      </w:r>
      <w:r w:rsidR="006D338E">
        <w:rPr>
          <w:lang w:eastAsia="ja-JP"/>
        </w:rPr>
        <w:t xml:space="preserve"> </w:t>
      </w:r>
      <w:r w:rsidR="007D091A">
        <w:rPr>
          <w:lang w:eastAsia="ja-JP"/>
        </w:rPr>
        <w:t>on a business of, or including, the administration</w:t>
      </w:r>
      <w:r w:rsidR="006D338E">
        <w:rPr>
          <w:lang w:eastAsia="ja-JP"/>
        </w:rPr>
        <w:t xml:space="preserve"> </w:t>
      </w:r>
      <w:r w:rsidR="007D091A">
        <w:rPr>
          <w:lang w:eastAsia="ja-JP"/>
        </w:rPr>
        <w:t>of estates</w:t>
      </w:r>
      <w:r w:rsidR="006D338E">
        <w:rPr>
          <w:lang w:eastAsia="ja-JP"/>
        </w:rPr>
        <w:t>.</w:t>
      </w:r>
    </w:p>
    <w:p w14:paraId="52EDFA8F" w14:textId="77777777" w:rsidR="00CC00EA" w:rsidRDefault="00CC00EA" w:rsidP="00CC00EA">
      <w:pPr>
        <w:rPr>
          <w:lang w:eastAsia="ja-JP"/>
        </w:rPr>
      </w:pPr>
      <w:r>
        <w:rPr>
          <w:lang w:eastAsia="ja-JP"/>
        </w:rPr>
        <w:lastRenderedPageBreak/>
        <w:t xml:space="preserve">Under section 175 of the GAA, administrators that carry on a business of, or including, the administration of estates are entitled to remuneration, but only: </w:t>
      </w:r>
    </w:p>
    <w:p w14:paraId="0EB232D1" w14:textId="1BBC5320" w:rsidR="00CC00EA" w:rsidRDefault="00CC00EA" w:rsidP="00CC00EA">
      <w:pPr>
        <w:pStyle w:val="ListParagraph"/>
        <w:numPr>
          <w:ilvl w:val="0"/>
          <w:numId w:val="3"/>
        </w:numPr>
        <w:spacing w:after="160"/>
        <w:rPr>
          <w:lang w:eastAsia="ja-JP"/>
        </w:rPr>
      </w:pPr>
      <w:r>
        <w:rPr>
          <w:lang w:eastAsia="ja-JP"/>
        </w:rPr>
        <w:t xml:space="preserve">in accordance with a scale </w:t>
      </w:r>
      <w:r w:rsidR="004E2CED">
        <w:rPr>
          <w:lang w:eastAsia="ja-JP"/>
        </w:rPr>
        <w:t>of</w:t>
      </w:r>
      <w:r>
        <w:rPr>
          <w:lang w:eastAsia="ja-JP"/>
        </w:rPr>
        <w:t xml:space="preserve"> remuneration for administrators that is fixed by rules made under the VCAT Act</w:t>
      </w:r>
      <w:r w:rsidR="00AC551A">
        <w:rPr>
          <w:lang w:eastAsia="ja-JP"/>
        </w:rPr>
        <w:t>,</w:t>
      </w:r>
      <w:r>
        <w:rPr>
          <w:lang w:eastAsia="ja-JP"/>
        </w:rPr>
        <w:t xml:space="preserve"> or </w:t>
      </w:r>
    </w:p>
    <w:p w14:paraId="15C091E9" w14:textId="4EA1B570" w:rsidR="00CC00EA" w:rsidRDefault="00CC00EA" w:rsidP="00CC00EA">
      <w:pPr>
        <w:pStyle w:val="ListParagraph"/>
        <w:numPr>
          <w:ilvl w:val="0"/>
          <w:numId w:val="3"/>
        </w:numPr>
        <w:spacing w:after="160"/>
        <w:rPr>
          <w:lang w:eastAsia="ja-JP"/>
        </w:rPr>
      </w:pPr>
      <w:r>
        <w:rPr>
          <w:lang w:eastAsia="ja-JP"/>
        </w:rPr>
        <w:t>as determined by VCAT</w:t>
      </w:r>
      <w:r w:rsidR="00B82415">
        <w:rPr>
          <w:lang w:eastAsia="ja-JP"/>
        </w:rPr>
        <w:t xml:space="preserve"> (i.e., on a case-by-case basis)</w:t>
      </w:r>
      <w:r>
        <w:rPr>
          <w:lang w:eastAsia="ja-JP"/>
        </w:rPr>
        <w:t>.</w:t>
      </w:r>
    </w:p>
    <w:p w14:paraId="1CD0AA78" w14:textId="5206D1A0" w:rsidR="00CC00EA" w:rsidRDefault="00076D94" w:rsidP="00076D94">
      <w:pPr>
        <w:rPr>
          <w:lang w:eastAsia="ja-JP"/>
        </w:rPr>
      </w:pPr>
      <w:r>
        <w:rPr>
          <w:lang w:eastAsia="ja-JP"/>
        </w:rPr>
        <w:t xml:space="preserve">The ability for VCAT to fix a scale of remuneration for administrators </w:t>
      </w:r>
      <w:r w:rsidR="00745CC6">
        <w:rPr>
          <w:lang w:eastAsia="ja-JP"/>
        </w:rPr>
        <w:t xml:space="preserve">was inserted into </w:t>
      </w:r>
      <w:r>
        <w:rPr>
          <w:lang w:eastAsia="ja-JP"/>
        </w:rPr>
        <w:t>the GAA</w:t>
      </w:r>
      <w:r w:rsidR="00B018F9">
        <w:rPr>
          <w:lang w:eastAsia="ja-JP"/>
        </w:rPr>
        <w:t xml:space="preserve"> in </w:t>
      </w:r>
      <w:r w:rsidR="00745CC6">
        <w:rPr>
          <w:lang w:eastAsia="ja-JP"/>
        </w:rPr>
        <w:t>2020</w:t>
      </w:r>
      <w:r w:rsidR="00B018F9">
        <w:rPr>
          <w:lang w:eastAsia="ja-JP"/>
        </w:rPr>
        <w:t xml:space="preserve">. </w:t>
      </w:r>
      <w:r w:rsidR="00745CC6">
        <w:rPr>
          <w:lang w:eastAsia="ja-JP"/>
        </w:rPr>
        <w:t xml:space="preserve">Previously, </w:t>
      </w:r>
      <w:r w:rsidR="00E87E57">
        <w:rPr>
          <w:lang w:eastAsia="ja-JP"/>
        </w:rPr>
        <w:t xml:space="preserve">VCAT </w:t>
      </w:r>
      <w:r w:rsidR="00745CC6">
        <w:rPr>
          <w:lang w:eastAsia="ja-JP"/>
        </w:rPr>
        <w:t>was</w:t>
      </w:r>
      <w:r w:rsidR="00E87E57">
        <w:rPr>
          <w:lang w:eastAsia="ja-JP"/>
        </w:rPr>
        <w:t xml:space="preserve"> required to approve the remuneration of each administrator</w:t>
      </w:r>
      <w:r w:rsidR="00330FF1">
        <w:rPr>
          <w:lang w:eastAsia="ja-JP"/>
        </w:rPr>
        <w:t xml:space="preserve"> under each order</w:t>
      </w:r>
      <w:r w:rsidR="00F652AB">
        <w:rPr>
          <w:lang w:eastAsia="ja-JP"/>
        </w:rPr>
        <w:t>,</w:t>
      </w:r>
      <w:r w:rsidR="0073095C">
        <w:rPr>
          <w:rStyle w:val="FootnoteReference"/>
          <w:lang w:eastAsia="ja-JP"/>
        </w:rPr>
        <w:footnoteReference w:id="4"/>
      </w:r>
      <w:r w:rsidR="00F652AB">
        <w:rPr>
          <w:lang w:eastAsia="ja-JP"/>
        </w:rPr>
        <w:t xml:space="preserve"> but no legal mechanism</w:t>
      </w:r>
      <w:r w:rsidR="00374D6E">
        <w:rPr>
          <w:lang w:eastAsia="ja-JP"/>
        </w:rPr>
        <w:t xml:space="preserve"> was provided</w:t>
      </w:r>
      <w:r w:rsidR="00F652AB">
        <w:rPr>
          <w:lang w:eastAsia="ja-JP"/>
        </w:rPr>
        <w:t xml:space="preserve"> to set a scale </w:t>
      </w:r>
      <w:r w:rsidR="00667C4B">
        <w:rPr>
          <w:lang w:eastAsia="ja-JP"/>
        </w:rPr>
        <w:t>to apply to all administrators.</w:t>
      </w:r>
    </w:p>
    <w:p w14:paraId="0890DABE" w14:textId="6E92C054" w:rsidR="00F652AB" w:rsidRDefault="00F652AB" w:rsidP="00076D94">
      <w:pPr>
        <w:rPr>
          <w:lang w:eastAsia="ja-JP"/>
        </w:rPr>
      </w:pPr>
      <w:r>
        <w:rPr>
          <w:lang w:eastAsia="ja-JP"/>
        </w:rPr>
        <w:t xml:space="preserve">To date, </w:t>
      </w:r>
      <w:r w:rsidR="00667C4B">
        <w:rPr>
          <w:lang w:eastAsia="ja-JP"/>
        </w:rPr>
        <w:t>VCAT has not determined a scale of remuneration</w:t>
      </w:r>
      <w:r w:rsidR="004E2CED">
        <w:rPr>
          <w:lang w:eastAsia="ja-JP"/>
        </w:rPr>
        <w:t xml:space="preserve"> for administrators.</w:t>
      </w:r>
      <w:r w:rsidR="00DC44F0">
        <w:rPr>
          <w:lang w:eastAsia="ja-JP"/>
        </w:rPr>
        <w:t xml:space="preserve"> This </w:t>
      </w:r>
      <w:r w:rsidR="00966658">
        <w:rPr>
          <w:lang w:eastAsia="ja-JP"/>
        </w:rPr>
        <w:t>Discussion</w:t>
      </w:r>
      <w:r w:rsidR="0024194A" w:rsidRPr="00F95C36">
        <w:rPr>
          <w:lang w:eastAsia="ja-JP"/>
        </w:rPr>
        <w:t xml:space="preserve"> </w:t>
      </w:r>
      <w:r w:rsidR="00A96145" w:rsidRPr="00F95C36">
        <w:rPr>
          <w:lang w:eastAsia="ja-JP"/>
        </w:rPr>
        <w:t>Paper</w:t>
      </w:r>
      <w:r w:rsidR="00DC44F0" w:rsidRPr="00F95C36">
        <w:rPr>
          <w:lang w:eastAsia="ja-JP"/>
        </w:rPr>
        <w:t xml:space="preserve"> is to </w:t>
      </w:r>
      <w:r w:rsidR="006A4241" w:rsidRPr="00F95C36">
        <w:rPr>
          <w:lang w:eastAsia="ja-JP"/>
        </w:rPr>
        <w:t>assist VCAT determine such a scale.</w:t>
      </w:r>
      <w:r w:rsidR="00C87EC3">
        <w:rPr>
          <w:lang w:eastAsia="ja-JP"/>
        </w:rPr>
        <w:t xml:space="preserve"> </w:t>
      </w:r>
    </w:p>
    <w:p w14:paraId="70ED3D73" w14:textId="3CA584E5" w:rsidR="006A4241" w:rsidRDefault="00CF64F8" w:rsidP="00076D94">
      <w:pPr>
        <w:rPr>
          <w:lang w:eastAsia="ja-JP"/>
        </w:rPr>
      </w:pPr>
      <w:r>
        <w:rPr>
          <w:lang w:eastAsia="ja-JP"/>
        </w:rPr>
        <w:t>A</w:t>
      </w:r>
      <w:r w:rsidRPr="00CF64F8">
        <w:rPr>
          <w:lang w:eastAsia="ja-JP"/>
        </w:rPr>
        <w:t xml:space="preserve"> remuneration scale </w:t>
      </w:r>
      <w:r w:rsidR="006E3AA3">
        <w:rPr>
          <w:lang w:eastAsia="ja-JP"/>
        </w:rPr>
        <w:t>would</w:t>
      </w:r>
      <w:r w:rsidRPr="00CF64F8">
        <w:rPr>
          <w:lang w:eastAsia="ja-JP"/>
        </w:rPr>
        <w:t xml:space="preserve"> be fixed through an amendment to the VCAT Rules. The Rules are made under section 157 of the </w:t>
      </w:r>
      <w:r w:rsidRPr="006E3AA3">
        <w:rPr>
          <w:i/>
          <w:iCs/>
          <w:lang w:eastAsia="ja-JP"/>
        </w:rPr>
        <w:t>V</w:t>
      </w:r>
      <w:r w:rsidR="00AC551A">
        <w:rPr>
          <w:i/>
          <w:iCs/>
          <w:lang w:eastAsia="ja-JP"/>
        </w:rPr>
        <w:t xml:space="preserve">ictorian </w:t>
      </w:r>
      <w:r w:rsidRPr="006E3AA3">
        <w:rPr>
          <w:i/>
          <w:iCs/>
          <w:lang w:eastAsia="ja-JP"/>
        </w:rPr>
        <w:t>C</w:t>
      </w:r>
      <w:r w:rsidR="00AC551A">
        <w:rPr>
          <w:i/>
          <w:iCs/>
          <w:lang w:eastAsia="ja-JP"/>
        </w:rPr>
        <w:t xml:space="preserve">ivil and </w:t>
      </w:r>
      <w:r w:rsidRPr="006E3AA3">
        <w:rPr>
          <w:i/>
          <w:iCs/>
          <w:lang w:eastAsia="ja-JP"/>
        </w:rPr>
        <w:t>A</w:t>
      </w:r>
      <w:r w:rsidR="00AC551A">
        <w:rPr>
          <w:i/>
          <w:iCs/>
          <w:lang w:eastAsia="ja-JP"/>
        </w:rPr>
        <w:t xml:space="preserve">dministrative </w:t>
      </w:r>
      <w:r w:rsidRPr="006E3AA3">
        <w:rPr>
          <w:i/>
          <w:iCs/>
          <w:lang w:eastAsia="ja-JP"/>
        </w:rPr>
        <w:t>Act 1998</w:t>
      </w:r>
      <w:r w:rsidRPr="00CF64F8">
        <w:rPr>
          <w:lang w:eastAsia="ja-JP"/>
        </w:rPr>
        <w:t xml:space="preserve"> by the </w:t>
      </w:r>
      <w:r w:rsidR="00AE1B67">
        <w:rPr>
          <w:lang w:eastAsia="ja-JP"/>
        </w:rPr>
        <w:t xml:space="preserve">VCAT </w:t>
      </w:r>
      <w:r w:rsidRPr="00CF64F8">
        <w:rPr>
          <w:lang w:eastAsia="ja-JP"/>
        </w:rPr>
        <w:t xml:space="preserve">Rules Committee. VCAT Rules are statutory rules for the purposes of the </w:t>
      </w:r>
      <w:r w:rsidRPr="006E3AA3">
        <w:rPr>
          <w:i/>
          <w:iCs/>
          <w:lang w:eastAsia="ja-JP"/>
        </w:rPr>
        <w:t>Subordinate Legislation Act 1994</w:t>
      </w:r>
      <w:r w:rsidRPr="00CF64F8">
        <w:rPr>
          <w:lang w:eastAsia="ja-JP"/>
        </w:rPr>
        <w:t xml:space="preserve"> (see section 3); meaning the Rules must be tabled in parliament and are disallowable,</w:t>
      </w:r>
      <w:r w:rsidR="00507BE1">
        <w:rPr>
          <w:rStyle w:val="FootnoteReference"/>
          <w:rFonts w:ascii="Calibri" w:eastAsia="Times New Roman" w:hAnsi="Calibri"/>
          <w:color w:val="000000"/>
          <w:lang w:eastAsia="ja-JP"/>
        </w:rPr>
        <w:footnoteReference w:id="5"/>
      </w:r>
      <w:r w:rsidRPr="00CF64F8">
        <w:rPr>
          <w:lang w:eastAsia="ja-JP"/>
        </w:rPr>
        <w:t xml:space="preserve"> but may be exempted from the need to prepare a regulatory impact statement.</w:t>
      </w:r>
      <w:r w:rsidR="00076E30">
        <w:rPr>
          <w:rStyle w:val="FootnoteReference"/>
          <w:rFonts w:ascii="Calibri" w:eastAsia="Times New Roman" w:hAnsi="Calibri"/>
          <w:color w:val="000000"/>
          <w:lang w:eastAsia="ja-JP"/>
        </w:rPr>
        <w:footnoteReference w:id="6"/>
      </w:r>
    </w:p>
    <w:p w14:paraId="7AD9B34A" w14:textId="49720A59" w:rsidR="00EF59C4" w:rsidRDefault="00EF59C4" w:rsidP="00076D94">
      <w:pPr>
        <w:rPr>
          <w:lang w:eastAsia="ja-JP"/>
        </w:rPr>
      </w:pPr>
      <w:r>
        <w:rPr>
          <w:lang w:eastAsia="ja-JP"/>
        </w:rPr>
        <w:t>While the remuneration scale would be made under the Rules, each administration order would need to specifically reference the scale</w:t>
      </w:r>
      <w:r w:rsidR="00596183">
        <w:rPr>
          <w:lang w:eastAsia="ja-JP"/>
        </w:rPr>
        <w:t xml:space="preserve"> for it to apply to that order.</w:t>
      </w:r>
      <w:r w:rsidR="00456637">
        <w:rPr>
          <w:lang w:eastAsia="ja-JP"/>
        </w:rPr>
        <w:t xml:space="preserve"> VCAT would continue to have discretion to include alternative remuneration arrangements in orders when it considered it appropriate to do so.</w:t>
      </w:r>
    </w:p>
    <w:p w14:paraId="0530EDA9" w14:textId="77777777" w:rsidR="00BE53FE" w:rsidRDefault="00BE53FE" w:rsidP="00BE53FE">
      <w:pPr>
        <w:pStyle w:val="Heading2"/>
        <w:rPr>
          <w:lang w:eastAsia="ja-JP"/>
        </w:rPr>
      </w:pPr>
      <w:bookmarkStart w:id="29" w:name="_Toc124917423"/>
      <w:r>
        <w:rPr>
          <w:lang w:eastAsia="ja-JP"/>
        </w:rPr>
        <w:t>How remuneration for administrators is currently set</w:t>
      </w:r>
      <w:bookmarkEnd w:id="29"/>
    </w:p>
    <w:p w14:paraId="411A2A83" w14:textId="77777777" w:rsidR="00BE53FE" w:rsidRDefault="00BE53FE" w:rsidP="00BE53FE">
      <w:pPr>
        <w:rPr>
          <w:lang w:eastAsia="ja-JP"/>
        </w:rPr>
      </w:pPr>
      <w:r>
        <w:rPr>
          <w:lang w:eastAsia="ja-JP"/>
        </w:rPr>
        <w:t>In the absence of a remuneration scale, for a professional administrator (who carries on a business of, or including, the administration of estates) to receive any payment for their services, they would need VCAT to determine the amount of remuneration on a case-by-case basis.</w:t>
      </w:r>
    </w:p>
    <w:p w14:paraId="23DDAD52" w14:textId="77777777" w:rsidR="00BE53FE" w:rsidRDefault="00BE53FE" w:rsidP="00BE53FE">
      <w:pPr>
        <w:rPr>
          <w:lang w:eastAsia="ja-JP"/>
        </w:rPr>
      </w:pPr>
      <w:r>
        <w:rPr>
          <w:lang w:eastAsia="ja-JP"/>
        </w:rPr>
        <w:t>While VCAT could make a detailed assessment of the most appropriate remuneration for each case, in practice, the administration orders more commonly allow remuneration according to:</w:t>
      </w:r>
    </w:p>
    <w:p w14:paraId="0A4EF271" w14:textId="3C2EAE74" w:rsidR="00BE53FE" w:rsidRDefault="00BE53FE" w:rsidP="00BE53FE">
      <w:pPr>
        <w:pStyle w:val="ListParagraph"/>
        <w:numPr>
          <w:ilvl w:val="0"/>
          <w:numId w:val="13"/>
        </w:numPr>
        <w:rPr>
          <w:lang w:eastAsia="ja-JP"/>
        </w:rPr>
      </w:pPr>
      <w:r>
        <w:rPr>
          <w:lang w:eastAsia="ja-JP"/>
        </w:rPr>
        <w:t>State Trustees—the standard fee arrangements used by State Trustees for these types of administrations. These are set by State Trustees having regard to their community service obligations and funding from the Victorian Government to enable subsidised services. This is generally on a commission basis, applying to both capital and income, with scope for additional costs.</w:t>
      </w:r>
    </w:p>
    <w:p w14:paraId="11B78FC0" w14:textId="77777777" w:rsidR="00BE53FE" w:rsidRDefault="00BE53FE" w:rsidP="00BE53FE">
      <w:pPr>
        <w:pStyle w:val="ListParagraph"/>
        <w:numPr>
          <w:ilvl w:val="0"/>
          <w:numId w:val="13"/>
        </w:numPr>
        <w:rPr>
          <w:lang w:eastAsia="ja-JP"/>
        </w:rPr>
      </w:pPr>
      <w:r>
        <w:rPr>
          <w:lang w:eastAsia="ja-JP"/>
        </w:rPr>
        <w:t>for private licensed trustee companies—remuneration is set according to fees published by the company, as allowed to be charged under their trustee licence</w:t>
      </w:r>
      <w:r>
        <w:rPr>
          <w:rStyle w:val="FootnoteReference"/>
          <w:lang w:eastAsia="ja-JP"/>
        </w:rPr>
        <w:footnoteReference w:id="7"/>
      </w:r>
    </w:p>
    <w:p w14:paraId="4A128327" w14:textId="65E77F51" w:rsidR="00BE53FE" w:rsidRDefault="00BE53FE" w:rsidP="00BE53FE">
      <w:pPr>
        <w:pStyle w:val="ListParagraph"/>
        <w:numPr>
          <w:ilvl w:val="0"/>
          <w:numId w:val="13"/>
        </w:numPr>
        <w:rPr>
          <w:lang w:eastAsia="ja-JP"/>
        </w:rPr>
      </w:pPr>
      <w:r>
        <w:t xml:space="preserve">for solicitors—remuneration according to the Practitioner Remuneration Order (PRO, </w:t>
      </w:r>
      <w:r w:rsidRPr="00FF5016">
        <w:t xml:space="preserve">made by the </w:t>
      </w:r>
      <w:r>
        <w:t xml:space="preserve">Victorian </w:t>
      </w:r>
      <w:r w:rsidRPr="00FF5016">
        <w:t>Legal Costs Committee</w:t>
      </w:r>
      <w:r>
        <w:rPr>
          <w:rStyle w:val="FootnoteReference"/>
        </w:rPr>
        <w:footnoteReference w:id="8"/>
      </w:r>
      <w:r>
        <w:t xml:space="preserve">). The PRO provides for remuneration based on the time of </w:t>
      </w:r>
      <w:r>
        <w:lastRenderedPageBreak/>
        <w:t>a task (hourly rate), the complexity of a task (as a rate per document length), and some fixed amounts for some tasks.</w:t>
      </w:r>
    </w:p>
    <w:p w14:paraId="433E572B" w14:textId="77777777" w:rsidR="00BE53FE" w:rsidRDefault="00BE53FE" w:rsidP="00BE53FE">
      <w:pPr>
        <w:pStyle w:val="ListParagraph"/>
        <w:numPr>
          <w:ilvl w:val="0"/>
          <w:numId w:val="13"/>
        </w:numPr>
        <w:rPr>
          <w:lang w:eastAsia="ja-JP"/>
        </w:rPr>
      </w:pPr>
      <w:r>
        <w:rPr>
          <w:lang w:eastAsia="ja-JP"/>
        </w:rPr>
        <w:t>for accountants—generally an hourly rate for the work undertaken, or a fixed commission on value of assets and/or income.</w:t>
      </w:r>
    </w:p>
    <w:p w14:paraId="49A2EAF5" w14:textId="6349EFF1" w:rsidR="00BE53FE" w:rsidRDefault="00BE53FE" w:rsidP="00BE53FE">
      <w:pPr>
        <w:rPr>
          <w:lang w:eastAsia="ja-JP"/>
        </w:rPr>
      </w:pPr>
      <w:r>
        <w:rPr>
          <w:lang w:eastAsia="ja-JP"/>
        </w:rPr>
        <w:t xml:space="preserve">However, in some cases, the remuneration approved in the order has deviated from the standard fees for each group. In a small number of urgent or limited orders, the remuneration to be paid to </w:t>
      </w:r>
      <w:r w:rsidR="00B177C3">
        <w:rPr>
          <w:lang w:eastAsia="ja-JP"/>
        </w:rPr>
        <w:t>State Trustees</w:t>
      </w:r>
      <w:r>
        <w:rPr>
          <w:lang w:eastAsia="ja-JP"/>
        </w:rPr>
        <w:t xml:space="preserve"> has been set at a fixed hourly rate (of $250 per hour). </w:t>
      </w:r>
      <w:r>
        <w:t>In a number of recent orders, VCAT has approved remuneration for legal practitioners on a different basis than the PRO (e.g., a fixed hourly rate), and has also at times included caps on the total fees that may be charged under the PRO.</w:t>
      </w:r>
    </w:p>
    <w:p w14:paraId="0A1C86C8" w14:textId="77777777" w:rsidR="00BE53FE" w:rsidRDefault="00BE53FE" w:rsidP="00BE53FE">
      <w:pPr>
        <w:rPr>
          <w:lang w:eastAsia="ja-JP"/>
        </w:rPr>
      </w:pPr>
      <w:r>
        <w:rPr>
          <w:lang w:eastAsia="ja-JP"/>
        </w:rPr>
        <w:t>These deviations in general only occur with the agreement of the administrator to accept reduced payment; however, sometimes VCAT considers the fees that an estate would need to pay when considering who to appoint as an administrator, or considers payments on a different criteria.</w:t>
      </w:r>
    </w:p>
    <w:p w14:paraId="580ABA3C" w14:textId="2331A5D2" w:rsidR="00956C76" w:rsidRDefault="00956C76" w:rsidP="00956C76">
      <w:pPr>
        <w:pStyle w:val="Heading2"/>
      </w:pPr>
      <w:bookmarkStart w:id="30" w:name="_Toc117064494"/>
      <w:bookmarkStart w:id="31" w:name="_Toc115704180"/>
      <w:bookmarkStart w:id="32" w:name="_Toc124917424"/>
      <w:r>
        <w:t>Arrangements in other states</w:t>
      </w:r>
      <w:bookmarkEnd w:id="30"/>
      <w:bookmarkEnd w:id="31"/>
      <w:bookmarkEnd w:id="32"/>
    </w:p>
    <w:p w14:paraId="42B3393D" w14:textId="6A74B519" w:rsidR="00956C76" w:rsidRDefault="00AC551A" w:rsidP="00076D94">
      <w:pPr>
        <w:rPr>
          <w:lang w:eastAsia="ja-JP"/>
        </w:rPr>
      </w:pPr>
      <w:r>
        <w:rPr>
          <w:lang w:eastAsia="ja-JP"/>
        </w:rPr>
        <w:t xml:space="preserve">All other jurisdictions in Australia have arrangements </w:t>
      </w:r>
      <w:r w:rsidR="00F95C36">
        <w:rPr>
          <w:lang w:eastAsia="ja-JP"/>
        </w:rPr>
        <w:t xml:space="preserve">similar </w:t>
      </w:r>
      <w:r>
        <w:rPr>
          <w:lang w:eastAsia="ja-JP"/>
        </w:rPr>
        <w:t>to Victoria</w:t>
      </w:r>
      <w:r w:rsidR="00447E6D">
        <w:rPr>
          <w:lang w:eastAsia="ja-JP"/>
        </w:rPr>
        <w:t xml:space="preserve"> </w:t>
      </w:r>
      <w:r w:rsidR="00B14DE1">
        <w:rPr>
          <w:lang w:eastAsia="ja-JP"/>
        </w:rPr>
        <w:t xml:space="preserve">for the appointment of administrators and the ability </w:t>
      </w:r>
      <w:r w:rsidR="00447E6D">
        <w:rPr>
          <w:lang w:eastAsia="ja-JP"/>
        </w:rPr>
        <w:t>of</w:t>
      </w:r>
      <w:r w:rsidR="00B14DE1">
        <w:rPr>
          <w:lang w:eastAsia="ja-JP"/>
        </w:rPr>
        <w:t xml:space="preserve"> the VCAT-equivalent </w:t>
      </w:r>
      <w:r w:rsidR="00447E6D">
        <w:rPr>
          <w:lang w:eastAsia="ja-JP"/>
        </w:rPr>
        <w:t>bodies</w:t>
      </w:r>
      <w:r w:rsidR="00B14DE1">
        <w:rPr>
          <w:lang w:eastAsia="ja-JP"/>
        </w:rPr>
        <w:t xml:space="preserve"> </w:t>
      </w:r>
      <w:r>
        <w:rPr>
          <w:lang w:eastAsia="ja-JP"/>
        </w:rPr>
        <w:t xml:space="preserve">to </w:t>
      </w:r>
      <w:r w:rsidR="00B14DE1">
        <w:rPr>
          <w:lang w:eastAsia="ja-JP"/>
        </w:rPr>
        <w:t>approve remuneration</w:t>
      </w:r>
      <w:r w:rsidR="00447E6D">
        <w:rPr>
          <w:lang w:eastAsia="ja-JP"/>
        </w:rPr>
        <w:t>. However</w:t>
      </w:r>
      <w:r>
        <w:rPr>
          <w:lang w:eastAsia="ja-JP"/>
        </w:rPr>
        <w:t xml:space="preserve">, details </w:t>
      </w:r>
      <w:r w:rsidR="009F5112">
        <w:rPr>
          <w:lang w:eastAsia="ja-JP"/>
        </w:rPr>
        <w:t>and administration of the schemes vary between states. Generally, private administrators (friends or family) are not entitled to remuneration for the administrator services they provide; however, if a court or tribunal appoints a ‘professional’ administrator then they are entitled to remuneration. The arrangements of remuneration are as shown below:</w:t>
      </w:r>
    </w:p>
    <w:tbl>
      <w:tblPr>
        <w:tblStyle w:val="TableGrid"/>
        <w:tblW w:w="0" w:type="auto"/>
        <w:tblInd w:w="-5" w:type="dxa"/>
        <w:tblLook w:val="04A0" w:firstRow="1" w:lastRow="0" w:firstColumn="1" w:lastColumn="0" w:noHBand="0" w:noVBand="1"/>
      </w:tblPr>
      <w:tblGrid>
        <w:gridCol w:w="2410"/>
        <w:gridCol w:w="6605"/>
      </w:tblGrid>
      <w:tr w:rsidR="00042AA4" w:rsidRPr="00042AA4" w14:paraId="51EF4B19" w14:textId="77777777" w:rsidTr="00EA1AF7">
        <w:trPr>
          <w:cnfStyle w:val="100000000000" w:firstRow="1" w:lastRow="0" w:firstColumn="0" w:lastColumn="0" w:oddVBand="0" w:evenVBand="0" w:oddHBand="0" w:evenHBand="0" w:firstRowFirstColumn="0" w:firstRowLastColumn="0" w:lastRowFirstColumn="0" w:lastRowLastColumn="0"/>
          <w:tblHeader/>
        </w:trPr>
        <w:tc>
          <w:tcPr>
            <w:tcW w:w="2410" w:type="dxa"/>
          </w:tcPr>
          <w:p w14:paraId="2B73B2A3" w14:textId="0BAFAEFA" w:rsidR="00042AA4" w:rsidRPr="00042AA4" w:rsidRDefault="00E728CC" w:rsidP="00042AA4">
            <w:pPr>
              <w:rPr>
                <w:b/>
                <w:bCs/>
                <w:lang w:eastAsia="ja-JP"/>
              </w:rPr>
            </w:pPr>
            <w:r>
              <w:rPr>
                <w:b/>
                <w:bCs/>
                <w:lang w:eastAsia="ja-JP"/>
              </w:rPr>
              <w:t>Australian jurisdict</w:t>
            </w:r>
            <w:r w:rsidR="00681A85">
              <w:rPr>
                <w:b/>
                <w:bCs/>
                <w:lang w:eastAsia="ja-JP"/>
              </w:rPr>
              <w:t>ion</w:t>
            </w:r>
            <w:r w:rsidR="006F52E9">
              <w:rPr>
                <w:b/>
                <w:bCs/>
                <w:lang w:eastAsia="ja-JP"/>
              </w:rPr>
              <w:t>s</w:t>
            </w:r>
          </w:p>
        </w:tc>
        <w:tc>
          <w:tcPr>
            <w:tcW w:w="6605" w:type="dxa"/>
          </w:tcPr>
          <w:p w14:paraId="1098D350" w14:textId="3F2BAE18" w:rsidR="00042AA4" w:rsidRPr="00042AA4" w:rsidRDefault="00042AA4" w:rsidP="00042AA4">
            <w:pPr>
              <w:rPr>
                <w:b/>
                <w:bCs/>
                <w:lang w:eastAsia="ja-JP"/>
              </w:rPr>
            </w:pPr>
            <w:r w:rsidRPr="00042AA4">
              <w:rPr>
                <w:b/>
                <w:bCs/>
                <w:lang w:eastAsia="ja-JP"/>
              </w:rPr>
              <w:t>Arrangements</w:t>
            </w:r>
          </w:p>
        </w:tc>
      </w:tr>
      <w:tr w:rsidR="00042AA4" w14:paraId="677FBFA2" w14:textId="77777777" w:rsidTr="00681A85">
        <w:tc>
          <w:tcPr>
            <w:tcW w:w="2410" w:type="dxa"/>
          </w:tcPr>
          <w:p w14:paraId="6420F045" w14:textId="18BEAA67" w:rsidR="00042AA4" w:rsidRDefault="00042AA4" w:rsidP="00042AA4">
            <w:pPr>
              <w:rPr>
                <w:lang w:eastAsia="ja-JP"/>
              </w:rPr>
            </w:pPr>
            <w:r>
              <w:rPr>
                <w:lang w:eastAsia="ja-JP"/>
              </w:rPr>
              <w:t>New South Wales</w:t>
            </w:r>
          </w:p>
        </w:tc>
        <w:tc>
          <w:tcPr>
            <w:tcW w:w="6605" w:type="dxa"/>
          </w:tcPr>
          <w:p w14:paraId="5EAE8060" w14:textId="2EB5D7E3" w:rsidR="00042AA4" w:rsidRDefault="00042AA4" w:rsidP="00042AA4">
            <w:pPr>
              <w:rPr>
                <w:lang w:eastAsia="ja-JP"/>
              </w:rPr>
            </w:pPr>
            <w:r>
              <w:rPr>
                <w:lang w:eastAsia="ja-JP"/>
              </w:rPr>
              <w:t>P</w:t>
            </w:r>
            <w:r w:rsidRPr="00042AA4">
              <w:rPr>
                <w:lang w:eastAsia="ja-JP"/>
              </w:rPr>
              <w:t>rivate financial managers are not paid for performing their work unless they have a remuneration order from the Supreme Court of NSW.</w:t>
            </w:r>
            <w:r>
              <w:rPr>
                <w:lang w:eastAsia="ja-JP"/>
              </w:rPr>
              <w:t xml:space="preserve"> The Supreme Court determines </w:t>
            </w:r>
            <w:r w:rsidR="00AC7BC1">
              <w:rPr>
                <w:lang w:eastAsia="ja-JP"/>
              </w:rPr>
              <w:t xml:space="preserve">remuneration </w:t>
            </w:r>
            <w:r w:rsidR="002D0037">
              <w:rPr>
                <w:lang w:eastAsia="ja-JP"/>
              </w:rPr>
              <w:t xml:space="preserve">on </w:t>
            </w:r>
            <w:r>
              <w:rPr>
                <w:lang w:eastAsia="ja-JP"/>
              </w:rPr>
              <w:t>a case</w:t>
            </w:r>
            <w:r w:rsidR="00D6240B">
              <w:rPr>
                <w:lang w:eastAsia="ja-JP"/>
              </w:rPr>
              <w:t>-</w:t>
            </w:r>
            <w:r>
              <w:rPr>
                <w:lang w:eastAsia="ja-JP"/>
              </w:rPr>
              <w:t>by</w:t>
            </w:r>
            <w:r w:rsidR="00D6240B">
              <w:rPr>
                <w:lang w:eastAsia="ja-JP"/>
              </w:rPr>
              <w:t>-</w:t>
            </w:r>
            <w:r>
              <w:rPr>
                <w:lang w:eastAsia="ja-JP"/>
              </w:rPr>
              <w:t>case basis.</w:t>
            </w:r>
          </w:p>
        </w:tc>
      </w:tr>
      <w:tr w:rsidR="00042AA4" w14:paraId="46901B15" w14:textId="77777777" w:rsidTr="00681A85">
        <w:tc>
          <w:tcPr>
            <w:tcW w:w="2410" w:type="dxa"/>
          </w:tcPr>
          <w:p w14:paraId="2AE7A51C" w14:textId="4FFCBE0C" w:rsidR="00042AA4" w:rsidRDefault="00042AA4" w:rsidP="00042AA4">
            <w:pPr>
              <w:rPr>
                <w:lang w:eastAsia="ja-JP"/>
              </w:rPr>
            </w:pPr>
            <w:r>
              <w:rPr>
                <w:lang w:eastAsia="ja-JP"/>
              </w:rPr>
              <w:t>Queensland</w:t>
            </w:r>
          </w:p>
        </w:tc>
        <w:tc>
          <w:tcPr>
            <w:tcW w:w="6605" w:type="dxa"/>
          </w:tcPr>
          <w:p w14:paraId="12F6FBBE" w14:textId="01BBE1E4" w:rsidR="00042AA4" w:rsidRDefault="00042AA4" w:rsidP="00042AA4">
            <w:pPr>
              <w:rPr>
                <w:lang w:eastAsia="ja-JP"/>
              </w:rPr>
            </w:pPr>
            <w:r w:rsidRPr="00042AA4">
              <w:rPr>
                <w:lang w:eastAsia="ja-JP"/>
              </w:rPr>
              <w:t xml:space="preserve">If the tribunal makes an order for a professional </w:t>
            </w:r>
            <w:r w:rsidR="00745CC6">
              <w:rPr>
                <w:lang w:eastAsia="ja-JP"/>
              </w:rPr>
              <w:t>administrator</w:t>
            </w:r>
            <w:r w:rsidRPr="00042AA4">
              <w:rPr>
                <w:lang w:eastAsia="ja-JP"/>
              </w:rPr>
              <w:t>, then remuneration is</w:t>
            </w:r>
            <w:r w:rsidR="00B9065B">
              <w:rPr>
                <w:lang w:eastAsia="ja-JP"/>
              </w:rPr>
              <w:t xml:space="preserve"> set </w:t>
            </w:r>
            <w:r w:rsidRPr="00042AA4">
              <w:rPr>
                <w:lang w:eastAsia="ja-JP"/>
              </w:rPr>
              <w:t>on a case</w:t>
            </w:r>
            <w:r w:rsidR="006E1ED3">
              <w:rPr>
                <w:lang w:eastAsia="ja-JP"/>
              </w:rPr>
              <w:t>-</w:t>
            </w:r>
            <w:r w:rsidRPr="00042AA4">
              <w:rPr>
                <w:lang w:eastAsia="ja-JP"/>
              </w:rPr>
              <w:t>by</w:t>
            </w:r>
            <w:r w:rsidR="00D6240B">
              <w:rPr>
                <w:lang w:eastAsia="ja-JP"/>
              </w:rPr>
              <w:t>-</w:t>
            </w:r>
            <w:r w:rsidRPr="00042AA4">
              <w:rPr>
                <w:lang w:eastAsia="ja-JP"/>
              </w:rPr>
              <w:t>case basis</w:t>
            </w:r>
            <w:r w:rsidR="00B9065B">
              <w:rPr>
                <w:lang w:eastAsia="ja-JP"/>
              </w:rPr>
              <w:t xml:space="preserve"> by </w:t>
            </w:r>
            <w:r w:rsidR="00B177C3">
              <w:rPr>
                <w:lang w:eastAsia="ja-JP"/>
              </w:rPr>
              <w:t xml:space="preserve">the </w:t>
            </w:r>
            <w:bookmarkStart w:id="33" w:name="_Hlk124858089"/>
            <w:r w:rsidR="00B177C3">
              <w:rPr>
                <w:lang w:eastAsia="ja-JP"/>
              </w:rPr>
              <w:t>Queensland Civil and Administrat</w:t>
            </w:r>
            <w:r w:rsidR="00613547">
              <w:rPr>
                <w:lang w:eastAsia="ja-JP"/>
              </w:rPr>
              <w:t>ive</w:t>
            </w:r>
            <w:r w:rsidR="00B177C3">
              <w:rPr>
                <w:lang w:eastAsia="ja-JP"/>
              </w:rPr>
              <w:t xml:space="preserve"> Tribunal (</w:t>
            </w:r>
            <w:r w:rsidR="00B9065B">
              <w:rPr>
                <w:lang w:eastAsia="ja-JP"/>
              </w:rPr>
              <w:t>QCAT</w:t>
            </w:r>
            <w:bookmarkEnd w:id="33"/>
            <w:r w:rsidR="00B177C3">
              <w:rPr>
                <w:lang w:eastAsia="ja-JP"/>
              </w:rPr>
              <w:t>).</w:t>
            </w:r>
            <w:r w:rsidRPr="00042AA4">
              <w:rPr>
                <w:lang w:eastAsia="ja-JP"/>
              </w:rPr>
              <w:t xml:space="preserve"> QCAT recommends that a person obtains an estimate of fees from a professional administrator, the </w:t>
            </w:r>
            <w:hyperlink r:id="rId15" w:tgtFrame="_blank" w:tooltip="Public Trustee of Queensland" w:history="1">
              <w:r w:rsidRPr="00042AA4">
                <w:rPr>
                  <w:lang w:eastAsia="ja-JP"/>
                </w:rPr>
                <w:t>Public Trustee of Queensland</w:t>
              </w:r>
            </w:hyperlink>
            <w:r w:rsidRPr="00042AA4">
              <w:rPr>
                <w:lang w:eastAsia="ja-JP"/>
              </w:rPr>
              <w:t xml:space="preserve"> or a trustee company.</w:t>
            </w:r>
          </w:p>
          <w:p w14:paraId="13B5F54C" w14:textId="27D63F65" w:rsidR="00042AA4" w:rsidRDefault="00042AA4" w:rsidP="00042AA4">
            <w:pPr>
              <w:rPr>
                <w:lang w:eastAsia="ja-JP"/>
              </w:rPr>
            </w:pPr>
            <w:r w:rsidRPr="00E728CC">
              <w:rPr>
                <w:lang w:eastAsia="ja-JP"/>
              </w:rPr>
              <w:t xml:space="preserve">The Public Trustee has a detailed schedule for its services. Fees are based on the total value of the customer's assessable assets, along with a charge for administrative services based </w:t>
            </w:r>
            <w:r w:rsidR="00AC7BC1">
              <w:rPr>
                <w:lang w:eastAsia="ja-JP"/>
              </w:rPr>
              <w:t>on</w:t>
            </w:r>
            <w:r w:rsidR="00AC7BC1" w:rsidRPr="00E728CC">
              <w:rPr>
                <w:lang w:eastAsia="ja-JP"/>
              </w:rPr>
              <w:t xml:space="preserve"> </w:t>
            </w:r>
            <w:r w:rsidR="00E728CC" w:rsidRPr="00E728CC">
              <w:rPr>
                <w:lang w:eastAsia="ja-JP"/>
              </w:rPr>
              <w:t>administrative effort (e.g., number of transactions).</w:t>
            </w:r>
          </w:p>
        </w:tc>
      </w:tr>
      <w:tr w:rsidR="00042AA4" w14:paraId="2FDD6C24" w14:textId="77777777" w:rsidTr="00681A85">
        <w:tc>
          <w:tcPr>
            <w:tcW w:w="2410" w:type="dxa"/>
          </w:tcPr>
          <w:p w14:paraId="216BD07E" w14:textId="7BB2A955" w:rsidR="00042AA4" w:rsidRDefault="00042AA4" w:rsidP="00042AA4">
            <w:pPr>
              <w:rPr>
                <w:lang w:eastAsia="ja-JP"/>
              </w:rPr>
            </w:pPr>
            <w:r>
              <w:rPr>
                <w:lang w:eastAsia="ja-JP"/>
              </w:rPr>
              <w:t>South Australia</w:t>
            </w:r>
          </w:p>
        </w:tc>
        <w:tc>
          <w:tcPr>
            <w:tcW w:w="6605" w:type="dxa"/>
          </w:tcPr>
          <w:p w14:paraId="570810A2" w14:textId="3B50DCD7" w:rsidR="00042AA4" w:rsidRPr="00E728CC" w:rsidRDefault="00E728CC" w:rsidP="00042AA4">
            <w:pPr>
              <w:rPr>
                <w:lang w:eastAsia="ja-JP"/>
              </w:rPr>
            </w:pPr>
            <w:bookmarkStart w:id="34" w:name="_Hlk117065235"/>
            <w:r w:rsidRPr="00E728CC">
              <w:rPr>
                <w:lang w:eastAsia="ja-JP"/>
              </w:rPr>
              <w:t>An administrator who carries on a business of</w:t>
            </w:r>
            <w:r w:rsidR="00F72BC6">
              <w:rPr>
                <w:lang w:eastAsia="ja-JP"/>
              </w:rPr>
              <w:t>,</w:t>
            </w:r>
            <w:r w:rsidRPr="00E728CC">
              <w:rPr>
                <w:lang w:eastAsia="ja-JP"/>
              </w:rPr>
              <w:t xml:space="preserve"> or including</w:t>
            </w:r>
            <w:r w:rsidR="00F72BC6">
              <w:rPr>
                <w:lang w:eastAsia="ja-JP"/>
              </w:rPr>
              <w:t>,</w:t>
            </w:r>
            <w:r w:rsidRPr="00E728CC">
              <w:rPr>
                <w:lang w:eastAsia="ja-JP"/>
              </w:rPr>
              <w:t xml:space="preserve"> the administration of estates is entitled to remuneration out of the estate of the protected person for the work involved in administering that estate.</w:t>
            </w:r>
          </w:p>
          <w:p w14:paraId="402A3FC6" w14:textId="61891E07" w:rsidR="00E728CC" w:rsidRDefault="00E728CC" w:rsidP="00E728CC">
            <w:pPr>
              <w:rPr>
                <w:lang w:eastAsia="ja-JP"/>
              </w:rPr>
            </w:pPr>
            <w:r w:rsidRPr="00E728CC">
              <w:rPr>
                <w:lang w:eastAsia="ja-JP"/>
              </w:rPr>
              <w:t xml:space="preserve">Under the </w:t>
            </w:r>
            <w:r w:rsidRPr="00EA1AF7">
              <w:rPr>
                <w:i/>
              </w:rPr>
              <w:t>Guardianship and Administration Regulations 2015</w:t>
            </w:r>
            <w:r w:rsidRPr="00E728CC">
              <w:rPr>
                <w:lang w:eastAsia="ja-JP"/>
              </w:rPr>
              <w:t xml:space="preserve"> the rate for professional administrators is $71.50 for each hour. The Tribunal may, however, fix a higher rate on a case</w:t>
            </w:r>
            <w:r w:rsidR="0044790C">
              <w:rPr>
                <w:lang w:eastAsia="ja-JP"/>
              </w:rPr>
              <w:t>-</w:t>
            </w:r>
            <w:r w:rsidRPr="00E728CC">
              <w:rPr>
                <w:lang w:eastAsia="ja-JP"/>
              </w:rPr>
              <w:t>by</w:t>
            </w:r>
            <w:r w:rsidR="0044790C">
              <w:rPr>
                <w:lang w:eastAsia="ja-JP"/>
              </w:rPr>
              <w:t>-</w:t>
            </w:r>
            <w:r w:rsidRPr="00E728CC">
              <w:rPr>
                <w:lang w:eastAsia="ja-JP"/>
              </w:rPr>
              <w:t>case basis.</w:t>
            </w:r>
            <w:bookmarkEnd w:id="34"/>
            <w:r w:rsidR="00A865E4">
              <w:rPr>
                <w:lang w:eastAsia="ja-JP"/>
              </w:rPr>
              <w:t xml:space="preserve"> It is </w:t>
            </w:r>
            <w:r w:rsidR="00A865E4">
              <w:rPr>
                <w:lang w:eastAsia="ja-JP"/>
              </w:rPr>
              <w:lastRenderedPageBreak/>
              <w:t>understood that the rate contained in the South Australian regulations is rarely used.</w:t>
            </w:r>
          </w:p>
        </w:tc>
      </w:tr>
      <w:tr w:rsidR="00042AA4" w14:paraId="6A234892" w14:textId="77777777" w:rsidTr="00681A85">
        <w:tc>
          <w:tcPr>
            <w:tcW w:w="2410" w:type="dxa"/>
          </w:tcPr>
          <w:p w14:paraId="5C8A796B" w14:textId="72EB8252" w:rsidR="00042AA4" w:rsidRDefault="00042AA4" w:rsidP="00042AA4">
            <w:pPr>
              <w:rPr>
                <w:lang w:eastAsia="ja-JP"/>
              </w:rPr>
            </w:pPr>
            <w:r>
              <w:rPr>
                <w:lang w:eastAsia="ja-JP"/>
              </w:rPr>
              <w:lastRenderedPageBreak/>
              <w:t>Western Australia</w:t>
            </w:r>
          </w:p>
        </w:tc>
        <w:tc>
          <w:tcPr>
            <w:tcW w:w="6605" w:type="dxa"/>
          </w:tcPr>
          <w:p w14:paraId="7ED6F7B9" w14:textId="2E07FDA9" w:rsidR="00E728CC" w:rsidRDefault="00E728CC" w:rsidP="00042AA4">
            <w:pPr>
              <w:rPr>
                <w:lang w:eastAsia="ja-JP"/>
              </w:rPr>
            </w:pPr>
            <w:r w:rsidRPr="00E728CC">
              <w:rPr>
                <w:lang w:eastAsia="ja-JP"/>
              </w:rPr>
              <w:t xml:space="preserve">The </w:t>
            </w:r>
            <w:bookmarkStart w:id="35" w:name="_Hlk124858149"/>
            <w:r w:rsidRPr="00E728CC">
              <w:rPr>
                <w:lang w:eastAsia="ja-JP"/>
              </w:rPr>
              <w:t xml:space="preserve">State Administrative Tribunal </w:t>
            </w:r>
            <w:r w:rsidR="00D20586">
              <w:rPr>
                <w:lang w:eastAsia="ja-JP"/>
              </w:rPr>
              <w:t>(SAT</w:t>
            </w:r>
            <w:bookmarkEnd w:id="35"/>
            <w:r w:rsidR="00D20586">
              <w:rPr>
                <w:lang w:eastAsia="ja-JP"/>
              </w:rPr>
              <w:t xml:space="preserve">) </w:t>
            </w:r>
            <w:r w:rsidRPr="00E728CC">
              <w:rPr>
                <w:lang w:eastAsia="ja-JP"/>
              </w:rPr>
              <w:t xml:space="preserve">may fix remuneration </w:t>
            </w:r>
            <w:r w:rsidR="00B177C3">
              <w:rPr>
                <w:lang w:eastAsia="ja-JP"/>
              </w:rPr>
              <w:t>–</w:t>
            </w:r>
            <w:r w:rsidR="00AC7BC1">
              <w:rPr>
                <w:lang w:eastAsia="ja-JP"/>
              </w:rPr>
              <w:t xml:space="preserve"> </w:t>
            </w:r>
            <w:r w:rsidRPr="00E728CC">
              <w:rPr>
                <w:lang w:eastAsia="ja-JP"/>
              </w:rPr>
              <w:t>or a rate of remuneration</w:t>
            </w:r>
            <w:r w:rsidR="00AC7BC1">
              <w:rPr>
                <w:lang w:eastAsia="ja-JP"/>
              </w:rPr>
              <w:t xml:space="preserve"> </w:t>
            </w:r>
            <w:r w:rsidR="00B177C3">
              <w:rPr>
                <w:lang w:eastAsia="ja-JP"/>
              </w:rPr>
              <w:t>–</w:t>
            </w:r>
            <w:r w:rsidRPr="00E728CC">
              <w:rPr>
                <w:lang w:eastAsia="ja-JP"/>
              </w:rPr>
              <w:t xml:space="preserve"> and order that the same be paid to an administrator out of the estate of the represented person if the Tribunal considers that, because of the size or complexity of the estate or both, remuneration should be paid to the administrator.</w:t>
            </w:r>
          </w:p>
          <w:p w14:paraId="4760DDA1" w14:textId="32AEB8CE" w:rsidR="00042AA4" w:rsidRDefault="00E728CC" w:rsidP="00042AA4">
            <w:pPr>
              <w:rPr>
                <w:lang w:eastAsia="ja-JP"/>
              </w:rPr>
            </w:pPr>
            <w:r>
              <w:rPr>
                <w:lang w:eastAsia="ja-JP"/>
              </w:rPr>
              <w:t xml:space="preserve">Remuneration is set by </w:t>
            </w:r>
            <w:r w:rsidRPr="00E728CC">
              <w:rPr>
                <w:lang w:eastAsia="ja-JP"/>
              </w:rPr>
              <w:t xml:space="preserve">the </w:t>
            </w:r>
            <w:r w:rsidR="00AD4BDE">
              <w:rPr>
                <w:lang w:eastAsia="ja-JP"/>
              </w:rPr>
              <w:t xml:space="preserve">SAT </w:t>
            </w:r>
            <w:r w:rsidRPr="00E728CC">
              <w:rPr>
                <w:lang w:eastAsia="ja-JP"/>
              </w:rPr>
              <w:t xml:space="preserve">on a case-by-case basis. </w:t>
            </w:r>
            <w:r w:rsidR="00B14DE1">
              <w:rPr>
                <w:lang w:eastAsia="ja-JP"/>
              </w:rPr>
              <w:t>It</w:t>
            </w:r>
            <w:r w:rsidRPr="00E728CC">
              <w:rPr>
                <w:lang w:eastAsia="ja-JP"/>
              </w:rPr>
              <w:t xml:space="preserve"> is rare </w:t>
            </w:r>
            <w:r w:rsidR="00B14DE1">
              <w:rPr>
                <w:lang w:eastAsia="ja-JP"/>
              </w:rPr>
              <w:t xml:space="preserve">for SAT to appoint a private administrator </w:t>
            </w:r>
            <w:r w:rsidR="00745CC6">
              <w:rPr>
                <w:lang w:eastAsia="ja-JP"/>
              </w:rPr>
              <w:t>who</w:t>
            </w:r>
            <w:r w:rsidR="00B14DE1">
              <w:rPr>
                <w:lang w:eastAsia="ja-JP"/>
              </w:rPr>
              <w:t xml:space="preserve"> is paid</w:t>
            </w:r>
            <w:r w:rsidRPr="00E728CC">
              <w:rPr>
                <w:lang w:eastAsia="ja-JP"/>
              </w:rPr>
              <w:t>.</w:t>
            </w:r>
          </w:p>
        </w:tc>
      </w:tr>
      <w:tr w:rsidR="00042AA4" w14:paraId="7772C8DB" w14:textId="77777777" w:rsidTr="00681A85">
        <w:tc>
          <w:tcPr>
            <w:tcW w:w="2410" w:type="dxa"/>
          </w:tcPr>
          <w:p w14:paraId="0FBC34E1" w14:textId="096515F1" w:rsidR="00042AA4" w:rsidRDefault="00042AA4" w:rsidP="00042AA4">
            <w:pPr>
              <w:rPr>
                <w:lang w:eastAsia="ja-JP"/>
              </w:rPr>
            </w:pPr>
            <w:r>
              <w:rPr>
                <w:lang w:eastAsia="ja-JP"/>
              </w:rPr>
              <w:t>Tasmania</w:t>
            </w:r>
          </w:p>
        </w:tc>
        <w:tc>
          <w:tcPr>
            <w:tcW w:w="6605" w:type="dxa"/>
          </w:tcPr>
          <w:p w14:paraId="42454B9E" w14:textId="6629313F" w:rsidR="00042AA4" w:rsidRDefault="00E728CC" w:rsidP="00042AA4">
            <w:pPr>
              <w:rPr>
                <w:lang w:eastAsia="ja-JP"/>
              </w:rPr>
            </w:pPr>
            <w:r w:rsidRPr="00E728CC">
              <w:rPr>
                <w:lang w:eastAsia="ja-JP"/>
              </w:rPr>
              <w:t>An administrator who carries on a business of, or including, the administration of estates, is, if the Tribunal determines, entitled to remuneration out of the estate of the represented person for the work involved in administering that estate</w:t>
            </w:r>
            <w:r>
              <w:rPr>
                <w:lang w:eastAsia="ja-JP"/>
              </w:rPr>
              <w:t xml:space="preserve">. Only one private administrator (aside from a trustee company) </w:t>
            </w:r>
            <w:r w:rsidR="00987B6C" w:rsidRPr="00B9065B">
              <w:t xml:space="preserve">has been appointed </w:t>
            </w:r>
            <w:r w:rsidR="00CB5551" w:rsidRPr="00B9065B">
              <w:t xml:space="preserve">in </w:t>
            </w:r>
            <w:r w:rsidR="00B9065B" w:rsidRPr="00B9065B">
              <w:t xml:space="preserve">the last two </w:t>
            </w:r>
            <w:r w:rsidR="00987B6C" w:rsidRPr="00B9065B">
              <w:t>years.</w:t>
            </w:r>
          </w:p>
        </w:tc>
      </w:tr>
    </w:tbl>
    <w:p w14:paraId="33AEBB6D" w14:textId="4F66512D" w:rsidR="00987B6C" w:rsidRDefault="00987B6C">
      <w:pPr>
        <w:spacing w:after="120" w:line="240" w:lineRule="auto"/>
        <w:rPr>
          <w:lang w:eastAsia="ja-JP"/>
        </w:rPr>
      </w:pPr>
    </w:p>
    <w:p w14:paraId="3FCA6386" w14:textId="77777777" w:rsidR="0093466E" w:rsidRDefault="00930347">
      <w:pPr>
        <w:spacing w:after="120" w:line="240" w:lineRule="auto"/>
        <w:rPr>
          <w:lang w:eastAsia="ja-JP"/>
        </w:rPr>
      </w:pPr>
      <w:r>
        <w:rPr>
          <w:lang w:eastAsia="ja-JP"/>
        </w:rPr>
        <w:t xml:space="preserve">Further details on arrangements in other states are contained in Appendix B. </w:t>
      </w:r>
    </w:p>
    <w:p w14:paraId="23451320" w14:textId="094A6CC7" w:rsidR="00491F8E" w:rsidRDefault="0021458F">
      <w:pPr>
        <w:spacing w:after="120" w:line="240" w:lineRule="auto"/>
        <w:rPr>
          <w:lang w:eastAsia="ja-JP"/>
        </w:rPr>
      </w:pPr>
      <w:r>
        <w:rPr>
          <w:lang w:eastAsia="ja-JP"/>
        </w:rPr>
        <w:t>In summary, r</w:t>
      </w:r>
      <w:r w:rsidR="00491F8E">
        <w:rPr>
          <w:lang w:eastAsia="ja-JP"/>
        </w:rPr>
        <w:t>emuneration arrangements in other states are mostly set on a case</w:t>
      </w:r>
      <w:r w:rsidR="00CB5551">
        <w:rPr>
          <w:lang w:eastAsia="ja-JP"/>
        </w:rPr>
        <w:t>-</w:t>
      </w:r>
      <w:r w:rsidR="00491F8E">
        <w:rPr>
          <w:lang w:eastAsia="ja-JP"/>
        </w:rPr>
        <w:t>by</w:t>
      </w:r>
      <w:r w:rsidR="00CB5551">
        <w:rPr>
          <w:lang w:eastAsia="ja-JP"/>
        </w:rPr>
        <w:t>-</w:t>
      </w:r>
      <w:r w:rsidR="00491F8E">
        <w:rPr>
          <w:lang w:eastAsia="ja-JP"/>
        </w:rPr>
        <w:t xml:space="preserve">case basis, although South Australia prescribes a </w:t>
      </w:r>
      <w:r w:rsidR="00B60EE7">
        <w:rPr>
          <w:lang w:eastAsia="ja-JP"/>
        </w:rPr>
        <w:t xml:space="preserve">default rate </w:t>
      </w:r>
      <w:r w:rsidR="00491F8E">
        <w:rPr>
          <w:lang w:eastAsia="ja-JP"/>
        </w:rPr>
        <w:t xml:space="preserve">of $71.50 per hour. </w:t>
      </w:r>
      <w:r w:rsidR="006F03AD">
        <w:rPr>
          <w:lang w:eastAsia="ja-JP"/>
        </w:rPr>
        <w:t>However, as noted in the table above, it is understood the South Australian regulation is rarely used.</w:t>
      </w:r>
      <w:r w:rsidR="00391FE7">
        <w:rPr>
          <w:lang w:eastAsia="ja-JP"/>
        </w:rPr>
        <w:t xml:space="preserve"> </w:t>
      </w:r>
      <w:r w:rsidR="00491F8E">
        <w:rPr>
          <w:lang w:eastAsia="ja-JP"/>
        </w:rPr>
        <w:t xml:space="preserve">Public Trustee companies </w:t>
      </w:r>
      <w:r w:rsidR="00D972B4">
        <w:rPr>
          <w:lang w:eastAsia="ja-JP"/>
        </w:rPr>
        <w:t xml:space="preserve">manage </w:t>
      </w:r>
      <w:r w:rsidR="00491F8E">
        <w:rPr>
          <w:lang w:eastAsia="ja-JP"/>
        </w:rPr>
        <w:t xml:space="preserve">about </w:t>
      </w:r>
      <w:r w:rsidR="00D972B4">
        <w:rPr>
          <w:lang w:eastAsia="ja-JP"/>
        </w:rPr>
        <w:t>30</w:t>
      </w:r>
      <w:r w:rsidR="00491F8E">
        <w:rPr>
          <w:lang w:eastAsia="ja-JP"/>
        </w:rPr>
        <w:t xml:space="preserve"> per cent </w:t>
      </w:r>
      <w:r w:rsidR="00491F8E" w:rsidRPr="00D972B4">
        <w:rPr>
          <w:lang w:eastAsia="ja-JP"/>
        </w:rPr>
        <w:t>of all administrat</w:t>
      </w:r>
      <w:r w:rsidR="00105E2C">
        <w:rPr>
          <w:lang w:eastAsia="ja-JP"/>
        </w:rPr>
        <w:t>ion</w:t>
      </w:r>
      <w:r w:rsidR="00491F8E" w:rsidRPr="00D972B4">
        <w:rPr>
          <w:lang w:eastAsia="ja-JP"/>
        </w:rPr>
        <w:t xml:space="preserve"> orders in Australia. Public Trustees usually set fees as a percentage of the value of</w:t>
      </w:r>
      <w:r w:rsidR="00491F8E">
        <w:rPr>
          <w:lang w:eastAsia="ja-JP"/>
        </w:rPr>
        <w:t xml:space="preserve"> the represented person’s assets</w:t>
      </w:r>
      <w:r w:rsidR="009362E9">
        <w:rPr>
          <w:lang w:eastAsia="ja-JP"/>
        </w:rPr>
        <w:t xml:space="preserve"> and/or income</w:t>
      </w:r>
      <w:r w:rsidR="00491F8E">
        <w:rPr>
          <w:lang w:eastAsia="ja-JP"/>
        </w:rPr>
        <w:t>.</w:t>
      </w:r>
    </w:p>
    <w:p w14:paraId="3C4D332F" w14:textId="2F7842FD" w:rsidR="00962F99" w:rsidRDefault="00962F99">
      <w:pPr>
        <w:spacing w:after="120" w:line="240" w:lineRule="auto"/>
        <w:rPr>
          <w:lang w:eastAsia="ja-JP"/>
        </w:rPr>
      </w:pPr>
      <w:r>
        <w:rPr>
          <w:lang w:eastAsia="ja-JP"/>
        </w:rPr>
        <w:br w:type="page"/>
      </w:r>
    </w:p>
    <w:p w14:paraId="1B6854FF" w14:textId="19BB6754" w:rsidR="003C09A7" w:rsidRDefault="00D70107" w:rsidP="00962F99">
      <w:pPr>
        <w:pStyle w:val="Heading1"/>
        <w:rPr>
          <w:lang w:eastAsia="ja-JP"/>
        </w:rPr>
      </w:pPr>
      <w:bookmarkStart w:id="36" w:name="_Toc117064495"/>
      <w:bookmarkStart w:id="37" w:name="_Toc115704181"/>
      <w:bookmarkStart w:id="38" w:name="_Toc124917425"/>
      <w:r>
        <w:rPr>
          <w:lang w:eastAsia="ja-JP"/>
        </w:rPr>
        <w:lastRenderedPageBreak/>
        <w:t xml:space="preserve">The </w:t>
      </w:r>
      <w:bookmarkEnd w:id="36"/>
      <w:bookmarkEnd w:id="37"/>
      <w:r w:rsidR="0093466E">
        <w:rPr>
          <w:lang w:eastAsia="ja-JP"/>
        </w:rPr>
        <w:t>problems with the current arrangements</w:t>
      </w:r>
      <w:bookmarkEnd w:id="38"/>
    </w:p>
    <w:p w14:paraId="3E5939C3" w14:textId="4F316A0C" w:rsidR="00590613" w:rsidRDefault="00590613" w:rsidP="000F5270">
      <w:pPr>
        <w:pStyle w:val="Heading2"/>
        <w:rPr>
          <w:lang w:eastAsia="ja-JP"/>
        </w:rPr>
      </w:pPr>
      <w:bookmarkStart w:id="39" w:name="_Toc117064499"/>
      <w:bookmarkStart w:id="40" w:name="_Toc115704185"/>
      <w:bookmarkStart w:id="41" w:name="_Toc124917426"/>
      <w:r>
        <w:rPr>
          <w:lang w:eastAsia="ja-JP"/>
        </w:rPr>
        <w:t xml:space="preserve">The current approach to setting remuneration is </w:t>
      </w:r>
      <w:r w:rsidR="00345199">
        <w:rPr>
          <w:lang w:eastAsia="ja-JP"/>
        </w:rPr>
        <w:t>confusing</w:t>
      </w:r>
      <w:bookmarkEnd w:id="39"/>
      <w:bookmarkEnd w:id="40"/>
      <w:bookmarkEnd w:id="41"/>
    </w:p>
    <w:p w14:paraId="6AB5C6DE" w14:textId="01B9F35B" w:rsidR="00590613" w:rsidRDefault="00590613" w:rsidP="00590613">
      <w:pPr>
        <w:rPr>
          <w:lang w:eastAsia="ja-JP"/>
        </w:rPr>
      </w:pPr>
      <w:r>
        <w:rPr>
          <w:lang w:eastAsia="ja-JP"/>
        </w:rPr>
        <w:t xml:space="preserve">Notwithstanding that State Trustees and licensed trustee companies must necessarily have their own approaches to remuneration, the remuneration determined for other professional </w:t>
      </w:r>
      <w:r w:rsidR="002D74A3">
        <w:rPr>
          <w:lang w:eastAsia="ja-JP"/>
        </w:rPr>
        <w:t>administrators</w:t>
      </w:r>
      <w:r>
        <w:rPr>
          <w:lang w:eastAsia="ja-JP"/>
        </w:rPr>
        <w:t xml:space="preserve"> </w:t>
      </w:r>
      <w:r w:rsidR="00345199">
        <w:rPr>
          <w:lang w:eastAsia="ja-JP"/>
        </w:rPr>
        <w:t>lacks coherence</w:t>
      </w:r>
      <w:r w:rsidR="007E1652">
        <w:rPr>
          <w:lang w:eastAsia="ja-JP"/>
        </w:rPr>
        <w:t xml:space="preserve"> and transparency</w:t>
      </w:r>
      <w:r w:rsidR="002F4B4A">
        <w:rPr>
          <w:lang w:eastAsia="ja-JP"/>
        </w:rPr>
        <w:t xml:space="preserve">, and </w:t>
      </w:r>
      <w:r w:rsidR="001F5FE1">
        <w:rPr>
          <w:lang w:eastAsia="ja-JP"/>
        </w:rPr>
        <w:t>can sometimes be</w:t>
      </w:r>
      <w:r w:rsidR="002F4B4A">
        <w:rPr>
          <w:lang w:eastAsia="ja-JP"/>
        </w:rPr>
        <w:t xml:space="preserve"> too complex for the lay person to understand. This is particularly the case for the friends and family of a represented person or </w:t>
      </w:r>
      <w:r w:rsidR="00F808DD">
        <w:rPr>
          <w:lang w:eastAsia="ja-JP"/>
        </w:rPr>
        <w:t xml:space="preserve">for the </w:t>
      </w:r>
      <w:r w:rsidR="002F4B4A">
        <w:rPr>
          <w:lang w:eastAsia="ja-JP"/>
        </w:rPr>
        <w:t>represented person themselves.</w:t>
      </w:r>
    </w:p>
    <w:p w14:paraId="44DA2797" w14:textId="1F52D8BE" w:rsidR="00345199" w:rsidRDefault="00345199" w:rsidP="00590613">
      <w:pPr>
        <w:rPr>
          <w:lang w:eastAsia="ja-JP"/>
        </w:rPr>
      </w:pPr>
      <w:r>
        <w:rPr>
          <w:lang w:eastAsia="ja-JP"/>
        </w:rPr>
        <w:t xml:space="preserve">While the issues and nature of each </w:t>
      </w:r>
      <w:r w:rsidR="002D74A3">
        <w:rPr>
          <w:lang w:eastAsia="ja-JP"/>
        </w:rPr>
        <w:t>administration</w:t>
      </w:r>
      <w:r>
        <w:rPr>
          <w:lang w:eastAsia="ja-JP"/>
        </w:rPr>
        <w:t xml:space="preserve"> is different, there </w:t>
      </w:r>
      <w:r w:rsidR="003C401A">
        <w:rPr>
          <w:lang w:eastAsia="ja-JP"/>
        </w:rPr>
        <w:t xml:space="preserve">is </w:t>
      </w:r>
      <w:r>
        <w:rPr>
          <w:lang w:eastAsia="ja-JP"/>
        </w:rPr>
        <w:t>a core set of tasks that are common to most</w:t>
      </w:r>
      <w:r w:rsidR="00A71882">
        <w:rPr>
          <w:lang w:eastAsia="ja-JP"/>
        </w:rPr>
        <w:t>,</w:t>
      </w:r>
      <w:r>
        <w:rPr>
          <w:lang w:eastAsia="ja-JP"/>
        </w:rPr>
        <w:t xml:space="preserve"> if not all</w:t>
      </w:r>
      <w:r w:rsidR="00A71882">
        <w:rPr>
          <w:lang w:eastAsia="ja-JP"/>
        </w:rPr>
        <w:t>,</w:t>
      </w:r>
      <w:r>
        <w:rPr>
          <w:lang w:eastAsia="ja-JP"/>
        </w:rPr>
        <w:t xml:space="preserve"> </w:t>
      </w:r>
      <w:r w:rsidR="002D74A3">
        <w:rPr>
          <w:lang w:eastAsia="ja-JP"/>
        </w:rPr>
        <w:t>administrations</w:t>
      </w:r>
      <w:r>
        <w:rPr>
          <w:lang w:eastAsia="ja-JP"/>
        </w:rPr>
        <w:t xml:space="preserve">. However, the payment </w:t>
      </w:r>
      <w:r w:rsidR="002D74A3">
        <w:rPr>
          <w:lang w:eastAsia="ja-JP"/>
        </w:rPr>
        <w:t>for</w:t>
      </w:r>
      <w:r>
        <w:rPr>
          <w:lang w:eastAsia="ja-JP"/>
        </w:rPr>
        <w:t xml:space="preserve"> these tasks could be in reference to the PRO, a </w:t>
      </w:r>
      <w:r w:rsidR="002D74A3">
        <w:rPr>
          <w:lang w:eastAsia="ja-JP"/>
        </w:rPr>
        <w:t>different</w:t>
      </w:r>
      <w:r>
        <w:rPr>
          <w:lang w:eastAsia="ja-JP"/>
        </w:rPr>
        <w:t xml:space="preserve"> hourly rate, or a different commission rate. Even where an adm</w:t>
      </w:r>
      <w:r w:rsidR="002D74A3">
        <w:rPr>
          <w:lang w:eastAsia="ja-JP"/>
        </w:rPr>
        <w:t>inistrator</w:t>
      </w:r>
      <w:r>
        <w:rPr>
          <w:lang w:eastAsia="ja-JP"/>
        </w:rPr>
        <w:t xml:space="preserve"> order allows application of the PRO, sometimes additional limits are added (e.g., a cap on total fees).</w:t>
      </w:r>
    </w:p>
    <w:p w14:paraId="1396B758" w14:textId="0702A66F" w:rsidR="00345199" w:rsidRDefault="00345199" w:rsidP="00590613">
      <w:pPr>
        <w:rPr>
          <w:lang w:eastAsia="ja-JP"/>
        </w:rPr>
      </w:pPr>
      <w:r>
        <w:rPr>
          <w:lang w:eastAsia="ja-JP"/>
        </w:rPr>
        <w:t>From the point of view of a represented person, it is not clear:</w:t>
      </w:r>
    </w:p>
    <w:p w14:paraId="0BB7A7D9" w14:textId="320CCDB4" w:rsidR="00345199" w:rsidRDefault="00330C36" w:rsidP="002D74A3">
      <w:pPr>
        <w:pStyle w:val="ListParagraph"/>
        <w:numPr>
          <w:ilvl w:val="0"/>
          <w:numId w:val="13"/>
        </w:numPr>
        <w:rPr>
          <w:lang w:eastAsia="ja-JP"/>
        </w:rPr>
      </w:pPr>
      <w:r>
        <w:rPr>
          <w:lang w:eastAsia="ja-JP"/>
        </w:rPr>
        <w:t>w</w:t>
      </w:r>
      <w:r w:rsidR="00345199">
        <w:rPr>
          <w:lang w:eastAsia="ja-JP"/>
        </w:rPr>
        <w:t xml:space="preserve">hy </w:t>
      </w:r>
      <w:r w:rsidR="002D74A3">
        <w:rPr>
          <w:lang w:eastAsia="ja-JP"/>
        </w:rPr>
        <w:t>there are different approaches to determining remuneration</w:t>
      </w:r>
    </w:p>
    <w:p w14:paraId="4766F20B" w14:textId="5CA5F5B9" w:rsidR="002D74A3" w:rsidRDefault="00330C36" w:rsidP="002D74A3">
      <w:pPr>
        <w:pStyle w:val="ListParagraph"/>
        <w:numPr>
          <w:ilvl w:val="0"/>
          <w:numId w:val="13"/>
        </w:numPr>
        <w:rPr>
          <w:lang w:eastAsia="ja-JP"/>
        </w:rPr>
      </w:pPr>
      <w:r>
        <w:rPr>
          <w:lang w:eastAsia="ja-JP"/>
        </w:rPr>
        <w:t>w</w:t>
      </w:r>
      <w:r w:rsidR="002D74A3">
        <w:rPr>
          <w:lang w:eastAsia="ja-JP"/>
        </w:rPr>
        <w:t>hether the approach is most appropriate in the circumstances</w:t>
      </w:r>
    </w:p>
    <w:p w14:paraId="76600739" w14:textId="657D03CC" w:rsidR="00153B3E" w:rsidRDefault="00330C36" w:rsidP="00590613">
      <w:pPr>
        <w:pStyle w:val="ListParagraph"/>
        <w:numPr>
          <w:ilvl w:val="0"/>
          <w:numId w:val="13"/>
        </w:numPr>
        <w:rPr>
          <w:lang w:eastAsia="ja-JP"/>
        </w:rPr>
      </w:pPr>
      <w:r>
        <w:rPr>
          <w:lang w:eastAsia="ja-JP"/>
        </w:rPr>
        <w:t>h</w:t>
      </w:r>
      <w:r w:rsidR="002D74A3">
        <w:rPr>
          <w:lang w:eastAsia="ja-JP"/>
        </w:rPr>
        <w:t>ow the remuneration approach ensures the represented person gets value for what they pay</w:t>
      </w:r>
      <w:r w:rsidR="009C2FCB">
        <w:rPr>
          <w:lang w:eastAsia="ja-JP"/>
        </w:rPr>
        <w:t>.</w:t>
      </w:r>
    </w:p>
    <w:p w14:paraId="73F8B1AE" w14:textId="03B7D454" w:rsidR="0008188B" w:rsidRDefault="0008188B" w:rsidP="000F5270">
      <w:pPr>
        <w:pStyle w:val="Heading2"/>
        <w:rPr>
          <w:lang w:eastAsia="ja-JP"/>
        </w:rPr>
      </w:pPr>
      <w:bookmarkStart w:id="42" w:name="_Toc117064500"/>
      <w:bookmarkStart w:id="43" w:name="_Toc115704186"/>
      <w:bookmarkStart w:id="44" w:name="_Toc124917427"/>
      <w:r>
        <w:rPr>
          <w:lang w:eastAsia="ja-JP"/>
        </w:rPr>
        <w:t xml:space="preserve">The </w:t>
      </w:r>
      <w:r w:rsidR="00F66DE2">
        <w:rPr>
          <w:lang w:eastAsia="ja-JP"/>
        </w:rPr>
        <w:t xml:space="preserve">PRO was not </w:t>
      </w:r>
      <w:r w:rsidR="000F5270">
        <w:rPr>
          <w:lang w:eastAsia="ja-JP"/>
        </w:rPr>
        <w:t xml:space="preserve">designed for </w:t>
      </w:r>
      <w:r w:rsidR="00EA5E85">
        <w:rPr>
          <w:lang w:eastAsia="ja-JP"/>
        </w:rPr>
        <w:t xml:space="preserve">the tasks of </w:t>
      </w:r>
      <w:r w:rsidR="000F5270">
        <w:rPr>
          <w:lang w:eastAsia="ja-JP"/>
        </w:rPr>
        <w:t>administrators</w:t>
      </w:r>
      <w:bookmarkEnd w:id="42"/>
      <w:bookmarkEnd w:id="43"/>
      <w:bookmarkEnd w:id="44"/>
    </w:p>
    <w:p w14:paraId="484CF732" w14:textId="6A96B737" w:rsidR="00F76565" w:rsidRDefault="001F31AA" w:rsidP="001F31AA">
      <w:pPr>
        <w:rPr>
          <w:lang w:eastAsia="ja-JP"/>
        </w:rPr>
      </w:pPr>
      <w:r>
        <w:rPr>
          <w:lang w:eastAsia="ja-JP"/>
        </w:rPr>
        <w:t xml:space="preserve">Under the </w:t>
      </w:r>
      <w:r w:rsidR="00BC4D66" w:rsidRPr="00BC4D66">
        <w:rPr>
          <w:i/>
          <w:iCs/>
          <w:lang w:eastAsia="ja-JP"/>
        </w:rPr>
        <w:t>Legal Profession Uniform Law Application Act 2014</w:t>
      </w:r>
      <w:r>
        <w:rPr>
          <w:lang w:eastAsia="ja-JP"/>
        </w:rPr>
        <w:t>, the Legal Costs Committee may make orders with respect to the costs that may be charged by law practices for providing legal services.</w:t>
      </w:r>
      <w:r w:rsidR="00C57666" w:rsidRPr="00C57666">
        <w:rPr>
          <w:rStyle w:val="FootnoteReference"/>
          <w:lang w:eastAsia="ja-JP"/>
        </w:rPr>
        <w:t xml:space="preserve"> </w:t>
      </w:r>
      <w:r w:rsidR="00C57666">
        <w:rPr>
          <w:rStyle w:val="FootnoteReference"/>
          <w:lang w:eastAsia="ja-JP"/>
        </w:rPr>
        <w:footnoteReference w:id="9"/>
      </w:r>
    </w:p>
    <w:p w14:paraId="30AD26FA" w14:textId="4851AD1E" w:rsidR="00EA14CD" w:rsidRDefault="004C29D7" w:rsidP="00246741">
      <w:pPr>
        <w:rPr>
          <w:lang w:eastAsia="ja-JP"/>
        </w:rPr>
      </w:pPr>
      <w:r>
        <w:rPr>
          <w:lang w:eastAsia="ja-JP"/>
        </w:rPr>
        <w:t xml:space="preserve">The making of the PRO includes </w:t>
      </w:r>
      <w:r w:rsidR="00EA5E85">
        <w:rPr>
          <w:lang w:eastAsia="ja-JP"/>
        </w:rPr>
        <w:t>consultation with the Victorian Legal Services Board</w:t>
      </w:r>
      <w:r w:rsidR="00A86B4A">
        <w:rPr>
          <w:lang w:eastAsia="ja-JP"/>
        </w:rPr>
        <w:t xml:space="preserve">. The PRO must be tabled in parliament, is subject to scrutiny by </w:t>
      </w:r>
      <w:r w:rsidR="004F7C71">
        <w:rPr>
          <w:lang w:eastAsia="ja-JP"/>
        </w:rPr>
        <w:t xml:space="preserve">the Scrutiny of Acts and Regulations Committee </w:t>
      </w:r>
      <w:r w:rsidR="00DC2551">
        <w:rPr>
          <w:lang w:eastAsia="ja-JP"/>
        </w:rPr>
        <w:t>(SARC)</w:t>
      </w:r>
      <w:r w:rsidR="00933813">
        <w:rPr>
          <w:lang w:eastAsia="ja-JP"/>
        </w:rPr>
        <w:t>,</w:t>
      </w:r>
      <w:r w:rsidR="00DC2551">
        <w:rPr>
          <w:lang w:eastAsia="ja-JP"/>
        </w:rPr>
        <w:t xml:space="preserve"> </w:t>
      </w:r>
      <w:r w:rsidR="00A86B4A">
        <w:rPr>
          <w:lang w:eastAsia="ja-JP"/>
        </w:rPr>
        <w:t>and</w:t>
      </w:r>
      <w:r w:rsidR="000F12F3">
        <w:rPr>
          <w:lang w:eastAsia="ja-JP"/>
        </w:rPr>
        <w:t xml:space="preserve"> is disallowable by the parliament.</w:t>
      </w:r>
    </w:p>
    <w:p w14:paraId="75D75BBB" w14:textId="44BAC0F5" w:rsidR="00FF01CD" w:rsidRDefault="00922DF7" w:rsidP="00246741">
      <w:pPr>
        <w:rPr>
          <w:lang w:eastAsia="ja-JP"/>
        </w:rPr>
      </w:pPr>
      <w:r>
        <w:rPr>
          <w:lang w:eastAsia="ja-JP"/>
        </w:rPr>
        <w:t>The PRO</w:t>
      </w:r>
      <w:r w:rsidR="007343F2">
        <w:rPr>
          <w:lang w:eastAsia="ja-JP"/>
        </w:rPr>
        <w:t xml:space="preserve"> sets fees in a number of ways: some items are based on the time taken for the task (e.g., </w:t>
      </w:r>
      <w:r w:rsidR="00571E6D">
        <w:rPr>
          <w:lang w:eastAsia="ja-JP"/>
        </w:rPr>
        <w:t xml:space="preserve">travel and </w:t>
      </w:r>
      <w:r w:rsidR="000D1E30">
        <w:rPr>
          <w:lang w:eastAsia="ja-JP"/>
        </w:rPr>
        <w:t>attendances</w:t>
      </w:r>
      <w:r w:rsidR="00D42E6A">
        <w:rPr>
          <w:lang w:eastAsia="ja-JP"/>
        </w:rPr>
        <w:t>), the length of documents written</w:t>
      </w:r>
      <w:r w:rsidR="00F40FBD">
        <w:rPr>
          <w:lang w:eastAsia="ja-JP"/>
        </w:rPr>
        <w:t>,</w:t>
      </w:r>
      <w:r w:rsidR="00D42E6A">
        <w:rPr>
          <w:lang w:eastAsia="ja-JP"/>
        </w:rPr>
        <w:t xml:space="preserve"> read </w:t>
      </w:r>
      <w:r w:rsidR="00F40FBD">
        <w:rPr>
          <w:lang w:eastAsia="ja-JP"/>
        </w:rPr>
        <w:t xml:space="preserve">or transmitted </w:t>
      </w:r>
      <w:r w:rsidR="00D42E6A">
        <w:rPr>
          <w:lang w:eastAsia="ja-JP"/>
        </w:rPr>
        <w:t>(e.g.,</w:t>
      </w:r>
      <w:r w:rsidR="00F40FBD">
        <w:rPr>
          <w:lang w:eastAsia="ja-JP"/>
        </w:rPr>
        <w:t xml:space="preserve"> per folio </w:t>
      </w:r>
      <w:r w:rsidR="007C447B">
        <w:rPr>
          <w:lang w:eastAsia="ja-JP"/>
        </w:rPr>
        <w:t xml:space="preserve">(100 words) </w:t>
      </w:r>
      <w:r w:rsidR="00F40FBD">
        <w:rPr>
          <w:lang w:eastAsia="ja-JP"/>
        </w:rPr>
        <w:t>or per page)</w:t>
      </w:r>
      <w:r w:rsidR="004932F8">
        <w:rPr>
          <w:lang w:eastAsia="ja-JP"/>
        </w:rPr>
        <w:t xml:space="preserve">. The fees assigned to different tasks take into account </w:t>
      </w:r>
      <w:r w:rsidR="00180822">
        <w:rPr>
          <w:lang w:eastAsia="ja-JP"/>
        </w:rPr>
        <w:t xml:space="preserve">who within a law firm is </w:t>
      </w:r>
      <w:r w:rsidR="000D1E30">
        <w:rPr>
          <w:lang w:eastAsia="ja-JP"/>
        </w:rPr>
        <w:t xml:space="preserve">likely to be </w:t>
      </w:r>
      <w:r w:rsidR="00180822">
        <w:rPr>
          <w:lang w:eastAsia="ja-JP"/>
        </w:rPr>
        <w:t>undertaking the tasks, either directly</w:t>
      </w:r>
      <w:r w:rsidR="0093622D">
        <w:rPr>
          <w:lang w:eastAsia="ja-JP"/>
        </w:rPr>
        <w:t xml:space="preserve"> or by having regard to the complexity and skill required for each task.</w:t>
      </w:r>
    </w:p>
    <w:p w14:paraId="53D4B636" w14:textId="3811E4E2" w:rsidR="0093622D" w:rsidRDefault="007B355D" w:rsidP="00246741">
      <w:pPr>
        <w:rPr>
          <w:lang w:eastAsia="ja-JP"/>
        </w:rPr>
      </w:pPr>
      <w:r>
        <w:rPr>
          <w:lang w:eastAsia="ja-JP"/>
        </w:rPr>
        <w:t>T</w:t>
      </w:r>
      <w:r w:rsidR="0026300A">
        <w:rPr>
          <w:lang w:eastAsia="ja-JP"/>
        </w:rPr>
        <w:t>he fees included in the PRO</w:t>
      </w:r>
      <w:r w:rsidR="006F26A1">
        <w:rPr>
          <w:lang w:eastAsia="ja-JP"/>
        </w:rPr>
        <w:t xml:space="preserve"> are</w:t>
      </w:r>
      <w:r w:rsidR="007C729B">
        <w:rPr>
          <w:lang w:eastAsia="ja-JP"/>
        </w:rPr>
        <w:t xml:space="preserve"> based on analysis of providing legal services</w:t>
      </w:r>
      <w:r w:rsidR="00643EA1">
        <w:rPr>
          <w:lang w:eastAsia="ja-JP"/>
        </w:rPr>
        <w:t xml:space="preserve">. </w:t>
      </w:r>
      <w:r w:rsidR="002D2191">
        <w:rPr>
          <w:lang w:eastAsia="ja-JP"/>
        </w:rPr>
        <w:t>The fees implicitly reflect that the tasks are contributing to providing legal services to a client</w:t>
      </w:r>
      <w:r w:rsidR="00D476B0">
        <w:rPr>
          <w:lang w:eastAsia="ja-JP"/>
        </w:rPr>
        <w:t>, and hence the fees are justified by the value of those resulting legal services.</w:t>
      </w:r>
    </w:p>
    <w:p w14:paraId="70AC6393" w14:textId="0E15EE19" w:rsidR="00162644" w:rsidRDefault="000D1E30" w:rsidP="00246741">
      <w:pPr>
        <w:rPr>
          <w:lang w:eastAsia="ja-JP"/>
        </w:rPr>
      </w:pPr>
      <w:r>
        <w:rPr>
          <w:lang w:eastAsia="ja-JP"/>
        </w:rPr>
        <w:t xml:space="preserve">In setting the remuneration under the PRO, the </w:t>
      </w:r>
      <w:r w:rsidR="007A3B45">
        <w:rPr>
          <w:lang w:eastAsia="ja-JP"/>
        </w:rPr>
        <w:t>tasks of</w:t>
      </w:r>
      <w:r w:rsidR="00503A5C">
        <w:rPr>
          <w:lang w:eastAsia="ja-JP"/>
        </w:rPr>
        <w:t xml:space="preserve"> a </w:t>
      </w:r>
      <w:r w:rsidR="007A3B45">
        <w:rPr>
          <w:lang w:eastAsia="ja-JP"/>
        </w:rPr>
        <w:t>legal profession</w:t>
      </w:r>
      <w:r w:rsidR="00A71882">
        <w:rPr>
          <w:lang w:eastAsia="ja-JP"/>
        </w:rPr>
        <w:t>al</w:t>
      </w:r>
      <w:r w:rsidR="007A3B45">
        <w:rPr>
          <w:lang w:eastAsia="ja-JP"/>
        </w:rPr>
        <w:t xml:space="preserve"> or law firm performed in relation to acting as</w:t>
      </w:r>
      <w:r>
        <w:rPr>
          <w:lang w:eastAsia="ja-JP"/>
        </w:rPr>
        <w:t xml:space="preserve"> administrator—which at its core are not legal services—have not been specifically considered</w:t>
      </w:r>
      <w:r w:rsidR="00162644">
        <w:rPr>
          <w:lang w:eastAsia="ja-JP"/>
        </w:rPr>
        <w:t>. There is nothing in the PRO to guide how fees should be charged for many administrator tasks which sometimes require the administrator to perform</w:t>
      </w:r>
      <w:r w:rsidR="00A71882">
        <w:rPr>
          <w:lang w:eastAsia="ja-JP"/>
        </w:rPr>
        <w:t xml:space="preserve"> them</w:t>
      </w:r>
      <w:r w:rsidR="00162644">
        <w:rPr>
          <w:lang w:eastAsia="ja-JP"/>
        </w:rPr>
        <w:t xml:space="preserve"> personally, but often can be </w:t>
      </w:r>
      <w:r w:rsidR="00C57666">
        <w:rPr>
          <w:lang w:eastAsia="ja-JP"/>
        </w:rPr>
        <w:t>undertaken</w:t>
      </w:r>
      <w:r w:rsidR="00162644">
        <w:rPr>
          <w:lang w:eastAsia="ja-JP"/>
        </w:rPr>
        <w:t xml:space="preserve"> by other support staff. The rates in the PRO for reading and writing </w:t>
      </w:r>
      <w:r w:rsidR="00162644">
        <w:rPr>
          <w:lang w:eastAsia="ja-JP"/>
        </w:rPr>
        <w:lastRenderedPageBreak/>
        <w:t xml:space="preserve">documents, even when priced on the basis of a clerk, still implicitly assume there is some </w:t>
      </w:r>
      <w:r w:rsidR="00515DAF">
        <w:rPr>
          <w:lang w:eastAsia="ja-JP"/>
        </w:rPr>
        <w:t xml:space="preserve">(para) </w:t>
      </w:r>
      <w:r w:rsidR="00162644">
        <w:rPr>
          <w:lang w:eastAsia="ja-JP"/>
        </w:rPr>
        <w:t>legal skill needed to perform the task, whereas many of documents at the core of an administration would not require this level of skill.</w:t>
      </w:r>
    </w:p>
    <w:p w14:paraId="5C2B0169" w14:textId="6481B8F2" w:rsidR="00DE0BDE" w:rsidRDefault="009E2E8A" w:rsidP="00246741">
      <w:pPr>
        <w:rPr>
          <w:lang w:eastAsia="ja-JP"/>
        </w:rPr>
      </w:pPr>
      <w:r>
        <w:rPr>
          <w:lang w:eastAsia="ja-JP"/>
        </w:rPr>
        <w:t xml:space="preserve">The PRO is </w:t>
      </w:r>
      <w:r w:rsidR="00776890">
        <w:rPr>
          <w:lang w:eastAsia="ja-JP"/>
        </w:rPr>
        <w:t xml:space="preserve">complex for laypeople. A represented person, or their family, would </w:t>
      </w:r>
      <w:r w:rsidR="002707D1">
        <w:rPr>
          <w:lang w:eastAsia="ja-JP"/>
        </w:rPr>
        <w:t>ordinarily</w:t>
      </w:r>
      <w:r w:rsidR="00776890">
        <w:rPr>
          <w:lang w:eastAsia="ja-JP"/>
        </w:rPr>
        <w:t xml:space="preserve"> </w:t>
      </w:r>
      <w:r w:rsidR="001E0A74">
        <w:rPr>
          <w:lang w:eastAsia="ja-JP"/>
        </w:rPr>
        <w:t xml:space="preserve">not have sufficient skill and knowledge of the legal profession to know if the PRO had been correctly applied, </w:t>
      </w:r>
      <w:r w:rsidR="002707D1">
        <w:rPr>
          <w:lang w:eastAsia="ja-JP"/>
        </w:rPr>
        <w:t>particularly</w:t>
      </w:r>
      <w:r w:rsidR="001E0A74">
        <w:rPr>
          <w:lang w:eastAsia="ja-JP"/>
        </w:rPr>
        <w:t xml:space="preserve"> in regard to the appropriate schedule</w:t>
      </w:r>
      <w:r w:rsidR="005C7500">
        <w:rPr>
          <w:lang w:eastAsia="ja-JP"/>
        </w:rPr>
        <w:t xml:space="preserve"> of the PRO, </w:t>
      </w:r>
      <w:r w:rsidR="00D12581">
        <w:rPr>
          <w:lang w:eastAsia="ja-JP"/>
        </w:rPr>
        <w:t xml:space="preserve">or </w:t>
      </w:r>
      <w:r w:rsidR="005C7500">
        <w:rPr>
          <w:lang w:eastAsia="ja-JP"/>
        </w:rPr>
        <w:t xml:space="preserve">whether the types of work performed are </w:t>
      </w:r>
      <w:r w:rsidR="002707D1">
        <w:rPr>
          <w:lang w:eastAsia="ja-JP"/>
        </w:rPr>
        <w:t>‘</w:t>
      </w:r>
      <w:r w:rsidR="005C7500">
        <w:rPr>
          <w:lang w:eastAsia="ja-JP"/>
        </w:rPr>
        <w:t>usual’ or ‘necessary’</w:t>
      </w:r>
      <w:r w:rsidR="002707D1">
        <w:rPr>
          <w:lang w:eastAsia="ja-JP"/>
        </w:rPr>
        <w:t>. While the use of cost consultants by some law firms provide</w:t>
      </w:r>
      <w:r w:rsidR="00A71882">
        <w:rPr>
          <w:lang w:eastAsia="ja-JP"/>
        </w:rPr>
        <w:t>s</w:t>
      </w:r>
      <w:r w:rsidR="002707D1">
        <w:rPr>
          <w:lang w:eastAsia="ja-JP"/>
        </w:rPr>
        <w:t xml:space="preserve"> a level of assurance that the fees being charged relate to work actually performed, it does not </w:t>
      </w:r>
      <w:r w:rsidR="00A71882">
        <w:rPr>
          <w:lang w:eastAsia="ja-JP"/>
        </w:rPr>
        <w:t>necessarily provide</w:t>
      </w:r>
      <w:r w:rsidR="002707D1">
        <w:rPr>
          <w:lang w:eastAsia="ja-JP"/>
        </w:rPr>
        <w:t xml:space="preserve"> confidence that the total amount of fees is appropriate or represents value or efficiency</w:t>
      </w:r>
      <w:r w:rsidR="00332A20" w:rsidRPr="00332A20">
        <w:rPr>
          <w:lang w:eastAsia="ja-JP"/>
        </w:rPr>
        <w:t xml:space="preserve"> </w:t>
      </w:r>
      <w:r w:rsidR="00332A20">
        <w:rPr>
          <w:lang w:eastAsia="ja-JP"/>
        </w:rPr>
        <w:t>in the context of administering a represented person’s financial affairs</w:t>
      </w:r>
      <w:r w:rsidR="00483E45">
        <w:rPr>
          <w:lang w:eastAsia="ja-JP"/>
        </w:rPr>
        <w:t xml:space="preserve"> (while also adding to costs)</w:t>
      </w:r>
      <w:r w:rsidR="002707D1">
        <w:rPr>
          <w:lang w:eastAsia="ja-JP"/>
        </w:rPr>
        <w:t>.</w:t>
      </w:r>
    </w:p>
    <w:p w14:paraId="6432C7F2" w14:textId="6A2302B0" w:rsidR="009E2E8A" w:rsidRDefault="00FC6242" w:rsidP="00246741">
      <w:pPr>
        <w:rPr>
          <w:lang w:eastAsia="ja-JP"/>
        </w:rPr>
      </w:pPr>
      <w:r>
        <w:rPr>
          <w:lang w:eastAsia="ja-JP"/>
        </w:rPr>
        <w:t>It is extremely difficult for a represented person or their family to understand before the appointment how the fees will be applied</w:t>
      </w:r>
      <w:r w:rsidR="00591E82">
        <w:rPr>
          <w:lang w:eastAsia="ja-JP"/>
        </w:rPr>
        <w:t>, contributing to poor transparency.</w:t>
      </w:r>
    </w:p>
    <w:p w14:paraId="604DE4CD" w14:textId="04C993CC" w:rsidR="001D39DC" w:rsidRDefault="001D39DC" w:rsidP="00591E82">
      <w:pPr>
        <w:pStyle w:val="Heading2"/>
        <w:ind w:left="709" w:hanging="709"/>
        <w:rPr>
          <w:lang w:eastAsia="ja-JP"/>
        </w:rPr>
      </w:pPr>
      <w:bookmarkStart w:id="45" w:name="_Toc124917428"/>
      <w:bookmarkStart w:id="46" w:name="_Toc115704187"/>
      <w:r>
        <w:rPr>
          <w:lang w:eastAsia="ja-JP"/>
        </w:rPr>
        <w:t>Case studies</w:t>
      </w:r>
      <w:bookmarkEnd w:id="45"/>
    </w:p>
    <w:p w14:paraId="52EAF180" w14:textId="60893E53" w:rsidR="001D39DC" w:rsidRDefault="001D39DC" w:rsidP="001D39DC">
      <w:pPr>
        <w:rPr>
          <w:lang w:eastAsia="ja-JP"/>
        </w:rPr>
      </w:pPr>
      <w:r>
        <w:rPr>
          <w:lang w:eastAsia="ja-JP"/>
        </w:rPr>
        <w:t xml:space="preserve">In development of this </w:t>
      </w:r>
      <w:r w:rsidR="00966658">
        <w:rPr>
          <w:lang w:eastAsia="ja-JP"/>
        </w:rPr>
        <w:t>Discussion</w:t>
      </w:r>
      <w:r>
        <w:rPr>
          <w:lang w:eastAsia="ja-JP"/>
        </w:rPr>
        <w:t xml:space="preserve"> Paper and the proposed </w:t>
      </w:r>
      <w:r w:rsidR="00573663">
        <w:rPr>
          <w:lang w:eastAsia="ja-JP"/>
        </w:rPr>
        <w:t>remuneration</w:t>
      </w:r>
      <w:r>
        <w:rPr>
          <w:lang w:eastAsia="ja-JP"/>
        </w:rPr>
        <w:t xml:space="preserve"> scale, VCAT </w:t>
      </w:r>
      <w:r w:rsidR="00573663">
        <w:rPr>
          <w:lang w:eastAsia="ja-JP"/>
        </w:rPr>
        <w:t>reviewed fee data charged by professional administrators, as reported through the ABA process.</w:t>
      </w:r>
    </w:p>
    <w:p w14:paraId="546B7071" w14:textId="3204127C" w:rsidR="001C6284" w:rsidRDefault="00A271E5" w:rsidP="001D39DC">
      <w:pPr>
        <w:rPr>
          <w:lang w:eastAsia="ja-JP"/>
        </w:rPr>
      </w:pPr>
      <w:r>
        <w:rPr>
          <w:lang w:eastAsia="ja-JP"/>
        </w:rPr>
        <w:t xml:space="preserve">For those </w:t>
      </w:r>
      <w:r w:rsidR="00ED44F8">
        <w:rPr>
          <w:lang w:eastAsia="ja-JP"/>
        </w:rPr>
        <w:t>where remuneration was calculated in accordance with the PRO, a</w:t>
      </w:r>
      <w:r w:rsidR="001C6284">
        <w:rPr>
          <w:lang w:eastAsia="ja-JP"/>
        </w:rPr>
        <w:t xml:space="preserve"> sample </w:t>
      </w:r>
      <w:r w:rsidR="00ED44F8">
        <w:rPr>
          <w:lang w:eastAsia="ja-JP"/>
        </w:rPr>
        <w:t xml:space="preserve">of remuneration fees </w:t>
      </w:r>
      <w:r w:rsidR="001C6284">
        <w:rPr>
          <w:lang w:eastAsia="ja-JP"/>
        </w:rPr>
        <w:t xml:space="preserve">was selected </w:t>
      </w:r>
      <w:r w:rsidR="00BE5C64">
        <w:rPr>
          <w:lang w:eastAsia="ja-JP"/>
        </w:rPr>
        <w:t>for detailed review.</w:t>
      </w:r>
      <w:r w:rsidR="00C57666">
        <w:rPr>
          <w:rStyle w:val="FootnoteReference"/>
          <w:lang w:eastAsia="ja-JP"/>
        </w:rPr>
        <w:footnoteReference w:id="10"/>
      </w:r>
      <w:r w:rsidR="00BE5C64">
        <w:rPr>
          <w:lang w:eastAsia="ja-JP"/>
        </w:rPr>
        <w:t xml:space="preserve"> This sample</w:t>
      </w:r>
      <w:r w:rsidR="004E5683">
        <w:rPr>
          <w:lang w:eastAsia="ja-JP"/>
        </w:rPr>
        <w:t xml:space="preserve"> include</w:t>
      </w:r>
      <w:r w:rsidR="00BE5C64">
        <w:rPr>
          <w:lang w:eastAsia="ja-JP"/>
        </w:rPr>
        <w:t>d</w:t>
      </w:r>
      <w:r w:rsidR="004E5683">
        <w:rPr>
          <w:lang w:eastAsia="ja-JP"/>
        </w:rPr>
        <w:t xml:space="preserve"> small, medium and large estate values, as well as complex and non-complex</w:t>
      </w:r>
      <w:r w:rsidR="0057654C">
        <w:rPr>
          <w:lang w:eastAsia="ja-JP"/>
        </w:rPr>
        <w:t xml:space="preserve"> types of administrations.</w:t>
      </w:r>
    </w:p>
    <w:p w14:paraId="24BA4F30" w14:textId="77777777" w:rsidR="00613547" w:rsidRDefault="00B07DEA" w:rsidP="00613547">
      <w:pPr>
        <w:rPr>
          <w:lang w:eastAsia="ja-JP"/>
        </w:rPr>
      </w:pPr>
      <w:r>
        <w:rPr>
          <w:lang w:eastAsia="ja-JP"/>
        </w:rPr>
        <w:t>The table below</w:t>
      </w:r>
      <w:r w:rsidR="00E33C46">
        <w:rPr>
          <w:lang w:eastAsia="ja-JP"/>
        </w:rPr>
        <w:t xml:space="preserve"> shows </w:t>
      </w:r>
      <w:r w:rsidR="0028111E">
        <w:rPr>
          <w:lang w:eastAsia="ja-JP"/>
        </w:rPr>
        <w:t xml:space="preserve">where </w:t>
      </w:r>
      <w:r w:rsidR="00E33C46">
        <w:rPr>
          <w:lang w:eastAsia="ja-JP"/>
        </w:rPr>
        <w:t xml:space="preserve">each </w:t>
      </w:r>
      <w:r w:rsidR="0028111E">
        <w:rPr>
          <w:lang w:eastAsia="ja-JP"/>
        </w:rPr>
        <w:t>reviewed</w:t>
      </w:r>
      <w:r w:rsidR="00E33C46">
        <w:rPr>
          <w:lang w:eastAsia="ja-JP"/>
        </w:rPr>
        <w:t xml:space="preserve"> </w:t>
      </w:r>
      <w:r w:rsidR="0028111E">
        <w:rPr>
          <w:lang w:eastAsia="ja-JP"/>
        </w:rPr>
        <w:t xml:space="preserve">file sits in terms of the size of estate and </w:t>
      </w:r>
      <w:r w:rsidR="0006698C">
        <w:rPr>
          <w:lang w:eastAsia="ja-JP"/>
        </w:rPr>
        <w:t xml:space="preserve">VCAT’s view on the complexity of the administration. The amount of remuneration charged </w:t>
      </w:r>
      <w:r w:rsidR="00054DC8">
        <w:rPr>
          <w:lang w:eastAsia="ja-JP"/>
        </w:rPr>
        <w:t xml:space="preserve">is shown (indicative amount), together with </w:t>
      </w:r>
      <w:r w:rsidR="007F756D">
        <w:rPr>
          <w:lang w:eastAsia="ja-JP"/>
        </w:rPr>
        <w:t>time periods for which the fees relate.</w:t>
      </w:r>
      <w:r w:rsidR="00613547" w:rsidRPr="00613547">
        <w:rPr>
          <w:lang w:eastAsia="ja-JP"/>
        </w:rPr>
        <w:t xml:space="preserve"> </w:t>
      </w:r>
    </w:p>
    <w:p w14:paraId="05EB0B79" w14:textId="26DA6DFD" w:rsidR="00613547" w:rsidRDefault="00613547" w:rsidP="00613547">
      <w:pPr>
        <w:rPr>
          <w:lang w:eastAsia="ja-JP"/>
        </w:rPr>
      </w:pPr>
      <w:r>
        <w:rPr>
          <w:lang w:eastAsia="ja-JP"/>
        </w:rPr>
        <w:t>This sample shows that remuneration amounts vary widely, and the value of the estate and apparent complexity of matters to be managed is not necessarily a good predictor of the fees that will be payable.</w:t>
      </w:r>
    </w:p>
    <w:p w14:paraId="7398FDEC" w14:textId="6CDFE4EA" w:rsidR="0057654C" w:rsidRDefault="007138F6" w:rsidP="007138F6">
      <w:pPr>
        <w:pStyle w:val="Caption"/>
        <w:rPr>
          <w:lang w:eastAsia="ja-JP"/>
        </w:rPr>
      </w:pPr>
      <w:r>
        <w:t xml:space="preserve">Table </w:t>
      </w:r>
      <w:r>
        <w:fldChar w:fldCharType="begin"/>
      </w:r>
      <w:r>
        <w:instrText xml:space="preserve"> SEQ Table \* ARABIC </w:instrText>
      </w:r>
      <w:r>
        <w:fldChar w:fldCharType="separate"/>
      </w:r>
      <w:r w:rsidR="006B2E7E">
        <w:rPr>
          <w:noProof/>
        </w:rPr>
        <w:t>1</w:t>
      </w:r>
      <w:r>
        <w:fldChar w:fldCharType="end"/>
      </w:r>
      <w:r>
        <w:t xml:space="preserve">: </w:t>
      </w:r>
      <w:r w:rsidR="009115A7">
        <w:rPr>
          <w:lang w:eastAsia="ja-JP"/>
        </w:rPr>
        <w:t xml:space="preserve">Remuneration </w:t>
      </w:r>
      <w:r w:rsidR="00550CFE">
        <w:rPr>
          <w:lang w:eastAsia="ja-JP"/>
        </w:rPr>
        <w:t xml:space="preserve">amount </w:t>
      </w:r>
      <w:r w:rsidR="009115A7">
        <w:rPr>
          <w:lang w:eastAsia="ja-JP"/>
        </w:rPr>
        <w:t>charged</w:t>
      </w:r>
      <w:r>
        <w:rPr>
          <w:lang w:eastAsia="ja-JP"/>
        </w:rPr>
        <w:t xml:space="preserve"> </w:t>
      </w:r>
      <w:r w:rsidR="00550CFE">
        <w:rPr>
          <w:lang w:eastAsia="ja-JP"/>
        </w:rPr>
        <w:t xml:space="preserve">by estate value </w:t>
      </w:r>
      <w:r w:rsidR="00702624">
        <w:rPr>
          <w:lang w:eastAsia="ja-JP"/>
        </w:rPr>
        <w:t xml:space="preserve">– </w:t>
      </w:r>
      <w:r>
        <w:rPr>
          <w:lang w:eastAsia="ja-JP"/>
        </w:rPr>
        <w:t>PRO examples</w:t>
      </w:r>
      <w:r w:rsidR="00702624">
        <w:rPr>
          <w:lang w:eastAsia="ja-JP"/>
        </w:rPr>
        <w:t xml:space="preserve"> from case studies</w:t>
      </w:r>
    </w:p>
    <w:tbl>
      <w:tblPr>
        <w:tblStyle w:val="TableGrid"/>
        <w:tblW w:w="0" w:type="auto"/>
        <w:tblLook w:val="04A0" w:firstRow="1" w:lastRow="0" w:firstColumn="1" w:lastColumn="0" w:noHBand="0" w:noVBand="1"/>
      </w:tblPr>
      <w:tblGrid>
        <w:gridCol w:w="3003"/>
        <w:gridCol w:w="3003"/>
        <w:gridCol w:w="3004"/>
      </w:tblGrid>
      <w:tr w:rsidR="007138F6" w:rsidRPr="007138F6" w14:paraId="54528994" w14:textId="77777777" w:rsidTr="007138F6">
        <w:trPr>
          <w:cnfStyle w:val="100000000000" w:firstRow="1" w:lastRow="0" w:firstColumn="0" w:lastColumn="0" w:oddVBand="0" w:evenVBand="0" w:oddHBand="0" w:evenHBand="0" w:firstRowFirstColumn="0" w:firstRowLastColumn="0" w:lastRowFirstColumn="0" w:lastRowLastColumn="0"/>
        </w:trPr>
        <w:tc>
          <w:tcPr>
            <w:tcW w:w="3003" w:type="dxa"/>
          </w:tcPr>
          <w:p w14:paraId="1EA7F993" w14:textId="77777777" w:rsidR="007138F6" w:rsidRPr="007138F6" w:rsidRDefault="007138F6" w:rsidP="0028653D">
            <w:pPr>
              <w:spacing w:before="120" w:after="120" w:line="240" w:lineRule="auto"/>
              <w:rPr>
                <w:b/>
                <w:bCs/>
                <w:lang w:eastAsia="ja-JP"/>
              </w:rPr>
            </w:pPr>
          </w:p>
        </w:tc>
        <w:tc>
          <w:tcPr>
            <w:tcW w:w="3003" w:type="dxa"/>
          </w:tcPr>
          <w:p w14:paraId="2D1E4E00" w14:textId="6526AF7F" w:rsidR="007138F6" w:rsidRPr="007138F6" w:rsidRDefault="007138F6" w:rsidP="0028653D">
            <w:pPr>
              <w:spacing w:before="120" w:after="120" w:line="240" w:lineRule="auto"/>
              <w:jc w:val="center"/>
              <w:rPr>
                <w:b/>
                <w:bCs/>
                <w:lang w:eastAsia="ja-JP"/>
              </w:rPr>
            </w:pPr>
            <w:r w:rsidRPr="007138F6">
              <w:rPr>
                <w:b/>
                <w:bCs/>
                <w:lang w:eastAsia="ja-JP"/>
              </w:rPr>
              <w:t>Non-complex tasks</w:t>
            </w:r>
          </w:p>
        </w:tc>
        <w:tc>
          <w:tcPr>
            <w:tcW w:w="3004" w:type="dxa"/>
          </w:tcPr>
          <w:p w14:paraId="7EA3286B" w14:textId="7D5FFFA5" w:rsidR="007138F6" w:rsidRPr="007138F6" w:rsidRDefault="007138F6" w:rsidP="0028653D">
            <w:pPr>
              <w:spacing w:before="120" w:after="120" w:line="240" w:lineRule="auto"/>
              <w:jc w:val="center"/>
              <w:rPr>
                <w:b/>
                <w:bCs/>
                <w:lang w:eastAsia="ja-JP"/>
              </w:rPr>
            </w:pPr>
            <w:r w:rsidRPr="007138F6">
              <w:rPr>
                <w:b/>
                <w:bCs/>
                <w:lang w:eastAsia="ja-JP"/>
              </w:rPr>
              <w:t>Complex tasks</w:t>
            </w:r>
          </w:p>
        </w:tc>
      </w:tr>
      <w:tr w:rsidR="007138F6" w14:paraId="10795342" w14:textId="77777777" w:rsidTr="0028653D">
        <w:tc>
          <w:tcPr>
            <w:tcW w:w="3003" w:type="dxa"/>
            <w:shd w:val="clear" w:color="auto" w:fill="F2F2F2" w:themeFill="background1" w:themeFillShade="F2"/>
            <w:vAlign w:val="center"/>
          </w:tcPr>
          <w:p w14:paraId="7D74E494" w14:textId="7E5FED08" w:rsidR="007138F6" w:rsidRPr="007138F6" w:rsidRDefault="007138F6" w:rsidP="0028653D">
            <w:pPr>
              <w:spacing w:before="120" w:after="120" w:line="240" w:lineRule="auto"/>
              <w:rPr>
                <w:b/>
                <w:bCs/>
                <w:lang w:eastAsia="ja-JP"/>
              </w:rPr>
            </w:pPr>
            <w:r w:rsidRPr="007138F6">
              <w:rPr>
                <w:b/>
                <w:bCs/>
                <w:lang w:eastAsia="ja-JP"/>
              </w:rPr>
              <w:t>Small estate value</w:t>
            </w:r>
          </w:p>
        </w:tc>
        <w:tc>
          <w:tcPr>
            <w:tcW w:w="3003" w:type="dxa"/>
            <w:vAlign w:val="center"/>
          </w:tcPr>
          <w:p w14:paraId="4B7FE108" w14:textId="77777777" w:rsidR="007138F6" w:rsidRDefault="00657FC6" w:rsidP="0028653D">
            <w:pPr>
              <w:spacing w:before="120" w:after="120" w:line="240" w:lineRule="auto"/>
              <w:jc w:val="center"/>
              <w:rPr>
                <w:lang w:eastAsia="ja-JP"/>
              </w:rPr>
            </w:pPr>
            <w:r>
              <w:rPr>
                <w:lang w:eastAsia="ja-JP"/>
              </w:rPr>
              <w:t>&gt;$2,700 (12 months)</w:t>
            </w:r>
          </w:p>
          <w:p w14:paraId="0871FE9A" w14:textId="69CBA009" w:rsidR="00657FC6" w:rsidRDefault="00657FC6" w:rsidP="0028653D">
            <w:pPr>
              <w:spacing w:before="120" w:after="120" w:line="240" w:lineRule="auto"/>
              <w:jc w:val="center"/>
              <w:rPr>
                <w:lang w:eastAsia="ja-JP"/>
              </w:rPr>
            </w:pPr>
            <w:r>
              <w:rPr>
                <w:lang w:eastAsia="ja-JP"/>
              </w:rPr>
              <w:t>&gt;$10,000 (6 months)</w:t>
            </w:r>
          </w:p>
        </w:tc>
        <w:tc>
          <w:tcPr>
            <w:tcW w:w="3004" w:type="dxa"/>
            <w:vAlign w:val="center"/>
          </w:tcPr>
          <w:p w14:paraId="77889E74" w14:textId="77777777" w:rsidR="007138F6" w:rsidRDefault="00FB72AD" w:rsidP="0028653D">
            <w:pPr>
              <w:spacing w:before="120" w:after="120" w:line="240" w:lineRule="auto"/>
              <w:jc w:val="center"/>
              <w:rPr>
                <w:lang w:eastAsia="ja-JP"/>
              </w:rPr>
            </w:pPr>
            <w:r>
              <w:rPr>
                <w:lang w:eastAsia="ja-JP"/>
              </w:rPr>
              <w:t>&gt;$8,000</w:t>
            </w:r>
            <w:r w:rsidR="00872AB8">
              <w:rPr>
                <w:lang w:eastAsia="ja-JP"/>
              </w:rPr>
              <w:t xml:space="preserve"> (12 months)</w:t>
            </w:r>
            <w:r>
              <w:rPr>
                <w:lang w:eastAsia="ja-JP"/>
              </w:rPr>
              <w:t>*</w:t>
            </w:r>
          </w:p>
          <w:p w14:paraId="1840FEBD" w14:textId="27E6A125" w:rsidR="00BD0191" w:rsidRDefault="00BD0191" w:rsidP="0028653D">
            <w:pPr>
              <w:spacing w:before="120" w:after="120" w:line="240" w:lineRule="auto"/>
              <w:jc w:val="center"/>
              <w:rPr>
                <w:lang w:eastAsia="ja-JP"/>
              </w:rPr>
            </w:pPr>
            <w:r>
              <w:rPr>
                <w:lang w:eastAsia="ja-JP"/>
              </w:rPr>
              <w:t>&gt;$</w:t>
            </w:r>
            <w:r w:rsidR="009B7B5B">
              <w:rPr>
                <w:lang w:eastAsia="ja-JP"/>
              </w:rPr>
              <w:t>5,0</w:t>
            </w:r>
            <w:r>
              <w:rPr>
                <w:lang w:eastAsia="ja-JP"/>
              </w:rPr>
              <w:t>00 (</w:t>
            </w:r>
            <w:r w:rsidR="009B7B5B">
              <w:rPr>
                <w:lang w:eastAsia="ja-JP"/>
              </w:rPr>
              <w:t>4</w:t>
            </w:r>
            <w:r w:rsidR="00EB1DAF">
              <w:rPr>
                <w:lang w:eastAsia="ja-JP"/>
              </w:rPr>
              <w:t xml:space="preserve"> months)</w:t>
            </w:r>
            <w:r w:rsidR="009B7B5B">
              <w:rPr>
                <w:lang w:eastAsia="ja-JP"/>
              </w:rPr>
              <w:t>*</w:t>
            </w:r>
          </w:p>
        </w:tc>
      </w:tr>
      <w:tr w:rsidR="007138F6" w14:paraId="348D7854" w14:textId="77777777" w:rsidTr="0028653D">
        <w:tc>
          <w:tcPr>
            <w:tcW w:w="3003" w:type="dxa"/>
            <w:shd w:val="clear" w:color="auto" w:fill="F2F2F2" w:themeFill="background1" w:themeFillShade="F2"/>
            <w:vAlign w:val="center"/>
          </w:tcPr>
          <w:p w14:paraId="197BC01A" w14:textId="6B8E6DC3" w:rsidR="007138F6" w:rsidRPr="007138F6" w:rsidRDefault="007138F6" w:rsidP="0028653D">
            <w:pPr>
              <w:spacing w:before="120" w:after="120" w:line="240" w:lineRule="auto"/>
              <w:rPr>
                <w:b/>
                <w:bCs/>
                <w:lang w:eastAsia="ja-JP"/>
              </w:rPr>
            </w:pPr>
            <w:r w:rsidRPr="007138F6">
              <w:rPr>
                <w:b/>
                <w:bCs/>
                <w:lang w:eastAsia="ja-JP"/>
              </w:rPr>
              <w:t>Medium estate value</w:t>
            </w:r>
          </w:p>
        </w:tc>
        <w:tc>
          <w:tcPr>
            <w:tcW w:w="3003" w:type="dxa"/>
            <w:vAlign w:val="center"/>
          </w:tcPr>
          <w:p w14:paraId="3B8576F8" w14:textId="7A271802" w:rsidR="007138F6" w:rsidRDefault="008A2DE9" w:rsidP="0028653D">
            <w:pPr>
              <w:spacing w:before="120" w:after="120" w:line="240" w:lineRule="auto"/>
              <w:jc w:val="center"/>
              <w:rPr>
                <w:lang w:eastAsia="ja-JP"/>
              </w:rPr>
            </w:pPr>
            <w:r>
              <w:rPr>
                <w:lang w:eastAsia="ja-JP"/>
              </w:rPr>
              <w:t>&gt;$7,000 (3 months)</w:t>
            </w:r>
          </w:p>
        </w:tc>
        <w:tc>
          <w:tcPr>
            <w:tcW w:w="3004" w:type="dxa"/>
            <w:vAlign w:val="center"/>
          </w:tcPr>
          <w:p w14:paraId="0A31D38D" w14:textId="2C52126A" w:rsidR="007138F6" w:rsidRDefault="008A2DE9" w:rsidP="0028653D">
            <w:pPr>
              <w:spacing w:before="120" w:after="120" w:line="240" w:lineRule="auto"/>
              <w:jc w:val="center"/>
              <w:rPr>
                <w:lang w:eastAsia="ja-JP"/>
              </w:rPr>
            </w:pPr>
            <w:r>
              <w:rPr>
                <w:lang w:eastAsia="ja-JP"/>
              </w:rPr>
              <w:t>&gt;$7,000 (3 months)</w:t>
            </w:r>
          </w:p>
        </w:tc>
      </w:tr>
      <w:tr w:rsidR="007138F6" w14:paraId="6235754E" w14:textId="77777777" w:rsidTr="0028653D">
        <w:tc>
          <w:tcPr>
            <w:tcW w:w="3003" w:type="dxa"/>
            <w:shd w:val="clear" w:color="auto" w:fill="F2F2F2" w:themeFill="background1" w:themeFillShade="F2"/>
            <w:vAlign w:val="center"/>
          </w:tcPr>
          <w:p w14:paraId="324DF985" w14:textId="33B33E0B" w:rsidR="007138F6" w:rsidRPr="007138F6" w:rsidRDefault="007138F6" w:rsidP="0028653D">
            <w:pPr>
              <w:spacing w:before="120" w:after="120" w:line="240" w:lineRule="auto"/>
              <w:rPr>
                <w:b/>
                <w:bCs/>
                <w:lang w:eastAsia="ja-JP"/>
              </w:rPr>
            </w:pPr>
            <w:r w:rsidRPr="007138F6">
              <w:rPr>
                <w:b/>
                <w:bCs/>
                <w:lang w:eastAsia="ja-JP"/>
              </w:rPr>
              <w:t>Large estate value</w:t>
            </w:r>
          </w:p>
        </w:tc>
        <w:tc>
          <w:tcPr>
            <w:tcW w:w="3003" w:type="dxa"/>
            <w:vAlign w:val="center"/>
          </w:tcPr>
          <w:p w14:paraId="746A3656" w14:textId="659D0886" w:rsidR="007138F6" w:rsidRDefault="006444AB" w:rsidP="0028653D">
            <w:pPr>
              <w:spacing w:before="120" w:after="120" w:line="240" w:lineRule="auto"/>
              <w:jc w:val="center"/>
              <w:rPr>
                <w:lang w:eastAsia="ja-JP"/>
              </w:rPr>
            </w:pPr>
            <w:r>
              <w:rPr>
                <w:lang w:eastAsia="ja-JP"/>
              </w:rPr>
              <w:t>&gt;$9</w:t>
            </w:r>
            <w:r w:rsidR="00613547">
              <w:rPr>
                <w:lang w:eastAsia="ja-JP"/>
              </w:rPr>
              <w:t>,</w:t>
            </w:r>
            <w:r>
              <w:rPr>
                <w:lang w:eastAsia="ja-JP"/>
              </w:rPr>
              <w:t>000 (12 months)</w:t>
            </w:r>
          </w:p>
        </w:tc>
        <w:tc>
          <w:tcPr>
            <w:tcW w:w="3004" w:type="dxa"/>
            <w:vAlign w:val="center"/>
          </w:tcPr>
          <w:p w14:paraId="568AA644" w14:textId="77777777" w:rsidR="007138F6" w:rsidRDefault="006444AB" w:rsidP="0028653D">
            <w:pPr>
              <w:spacing w:before="120" w:after="120" w:line="240" w:lineRule="auto"/>
              <w:jc w:val="center"/>
              <w:rPr>
                <w:lang w:eastAsia="ja-JP"/>
              </w:rPr>
            </w:pPr>
            <w:r>
              <w:rPr>
                <w:lang w:eastAsia="ja-JP"/>
              </w:rPr>
              <w:t>&gt;$10,000 (3 months)</w:t>
            </w:r>
          </w:p>
          <w:p w14:paraId="29B364F9" w14:textId="13D10089" w:rsidR="006444AB" w:rsidRDefault="006444AB" w:rsidP="0028653D">
            <w:pPr>
              <w:spacing w:before="120" w:after="120" w:line="240" w:lineRule="auto"/>
              <w:jc w:val="center"/>
              <w:rPr>
                <w:lang w:eastAsia="ja-JP"/>
              </w:rPr>
            </w:pPr>
            <w:r>
              <w:rPr>
                <w:lang w:eastAsia="ja-JP"/>
              </w:rPr>
              <w:t>&gt;$</w:t>
            </w:r>
            <w:r w:rsidR="002E6FA7">
              <w:rPr>
                <w:lang w:eastAsia="ja-JP"/>
              </w:rPr>
              <w:t>1</w:t>
            </w:r>
            <w:r w:rsidR="007601C7">
              <w:rPr>
                <w:lang w:eastAsia="ja-JP"/>
              </w:rPr>
              <w:t>6</w:t>
            </w:r>
            <w:r>
              <w:rPr>
                <w:lang w:eastAsia="ja-JP"/>
              </w:rPr>
              <w:t>,000 (</w:t>
            </w:r>
            <w:r w:rsidR="007601C7">
              <w:rPr>
                <w:lang w:eastAsia="ja-JP"/>
              </w:rPr>
              <w:t>7</w:t>
            </w:r>
            <w:r>
              <w:rPr>
                <w:lang w:eastAsia="ja-JP"/>
              </w:rPr>
              <w:t xml:space="preserve"> months)</w:t>
            </w:r>
            <w:r w:rsidR="007601C7">
              <w:rPr>
                <w:lang w:eastAsia="ja-JP"/>
              </w:rPr>
              <w:t>*</w:t>
            </w:r>
          </w:p>
        </w:tc>
      </w:tr>
    </w:tbl>
    <w:p w14:paraId="69A3AB1D" w14:textId="3CFF5D37" w:rsidR="009115A7" w:rsidRPr="002E2C58" w:rsidRDefault="007601C7" w:rsidP="001D39DC">
      <w:pPr>
        <w:rPr>
          <w:i/>
          <w:iCs/>
          <w:sz w:val="20"/>
          <w:szCs w:val="20"/>
          <w:lang w:eastAsia="ja-JP"/>
        </w:rPr>
      </w:pPr>
      <w:r w:rsidRPr="002E2C58">
        <w:rPr>
          <w:i/>
          <w:iCs/>
          <w:sz w:val="20"/>
          <w:szCs w:val="20"/>
          <w:lang w:eastAsia="ja-JP"/>
        </w:rPr>
        <w:t>* These examples also included additional fees for litigation work, separately approved under s. 51</w:t>
      </w:r>
      <w:r w:rsidR="00962E8B">
        <w:rPr>
          <w:i/>
          <w:iCs/>
          <w:sz w:val="20"/>
          <w:szCs w:val="20"/>
          <w:lang w:eastAsia="ja-JP"/>
        </w:rPr>
        <w:t xml:space="preserve"> of the GAA</w:t>
      </w:r>
      <w:r w:rsidRPr="002E2C58">
        <w:rPr>
          <w:i/>
          <w:iCs/>
          <w:sz w:val="20"/>
          <w:szCs w:val="20"/>
          <w:lang w:eastAsia="ja-JP"/>
        </w:rPr>
        <w:t>.</w:t>
      </w:r>
      <w:r w:rsidR="00021447" w:rsidRPr="002E2C58">
        <w:rPr>
          <w:i/>
          <w:iCs/>
          <w:sz w:val="20"/>
          <w:szCs w:val="20"/>
          <w:lang w:eastAsia="ja-JP"/>
        </w:rPr>
        <w:t xml:space="preserve"> Only the remuneration </w:t>
      </w:r>
      <w:r w:rsidR="00FE3C75" w:rsidRPr="002E2C58">
        <w:rPr>
          <w:i/>
          <w:iCs/>
          <w:sz w:val="20"/>
          <w:szCs w:val="20"/>
          <w:lang w:eastAsia="ja-JP"/>
        </w:rPr>
        <w:t>attributed to non-litigation work is shown here.</w:t>
      </w:r>
    </w:p>
    <w:p w14:paraId="03228BF7" w14:textId="601301A8" w:rsidR="00E579A6" w:rsidRDefault="003C6F6A" w:rsidP="001D39DC">
      <w:pPr>
        <w:rPr>
          <w:lang w:eastAsia="ja-JP"/>
        </w:rPr>
      </w:pPr>
      <w:r>
        <w:rPr>
          <w:lang w:eastAsia="ja-JP"/>
        </w:rPr>
        <w:t>Special attention was given to assess</w:t>
      </w:r>
      <w:r w:rsidR="005D246A">
        <w:rPr>
          <w:lang w:eastAsia="ja-JP"/>
        </w:rPr>
        <w:t xml:space="preserve"> the capacity of the represented person</w:t>
      </w:r>
      <w:r w:rsidR="00613547">
        <w:rPr>
          <w:lang w:eastAsia="ja-JP"/>
        </w:rPr>
        <w:t>’</w:t>
      </w:r>
      <w:r w:rsidR="005D246A">
        <w:rPr>
          <w:lang w:eastAsia="ja-JP"/>
        </w:rPr>
        <w:t>s estate to pay the remuneration. In the sample</w:t>
      </w:r>
      <w:r w:rsidR="003052C7">
        <w:rPr>
          <w:lang w:eastAsia="ja-JP"/>
        </w:rPr>
        <w:t>s</w:t>
      </w:r>
      <w:r w:rsidR="005D246A">
        <w:rPr>
          <w:lang w:eastAsia="ja-JP"/>
        </w:rPr>
        <w:t xml:space="preserve"> reviewed, there </w:t>
      </w:r>
      <w:r w:rsidR="00832739">
        <w:rPr>
          <w:lang w:eastAsia="ja-JP"/>
        </w:rPr>
        <w:t>were</w:t>
      </w:r>
      <w:r w:rsidR="005D246A">
        <w:rPr>
          <w:lang w:eastAsia="ja-JP"/>
        </w:rPr>
        <w:t xml:space="preserve"> </w:t>
      </w:r>
      <w:r w:rsidR="001A5C2C">
        <w:rPr>
          <w:lang w:eastAsia="ja-JP"/>
        </w:rPr>
        <w:t>two</w:t>
      </w:r>
      <w:r w:rsidR="005D246A">
        <w:rPr>
          <w:lang w:eastAsia="ja-JP"/>
        </w:rPr>
        <w:t xml:space="preserve"> example</w:t>
      </w:r>
      <w:r w:rsidR="00832739">
        <w:rPr>
          <w:lang w:eastAsia="ja-JP"/>
        </w:rPr>
        <w:t>s</w:t>
      </w:r>
      <w:r w:rsidR="005D246A">
        <w:rPr>
          <w:lang w:eastAsia="ja-JP"/>
        </w:rPr>
        <w:t xml:space="preserve"> </w:t>
      </w:r>
      <w:r w:rsidR="005B118A">
        <w:rPr>
          <w:lang w:eastAsia="ja-JP"/>
        </w:rPr>
        <w:t>where the only income</w:t>
      </w:r>
      <w:r w:rsidR="002D51CB">
        <w:rPr>
          <w:lang w:eastAsia="ja-JP"/>
        </w:rPr>
        <w:t xml:space="preserve"> was the </w:t>
      </w:r>
      <w:r w:rsidR="002D51CB">
        <w:rPr>
          <w:lang w:eastAsia="ja-JP"/>
        </w:rPr>
        <w:lastRenderedPageBreak/>
        <w:t xml:space="preserve">pension, which </w:t>
      </w:r>
      <w:r w:rsidR="003568EF">
        <w:rPr>
          <w:lang w:eastAsia="ja-JP"/>
        </w:rPr>
        <w:t xml:space="preserve">would warrant </w:t>
      </w:r>
      <w:r w:rsidR="00832739">
        <w:rPr>
          <w:lang w:eastAsia="ja-JP"/>
        </w:rPr>
        <w:t>particular concern</w:t>
      </w:r>
      <w:r w:rsidR="00EA28FE">
        <w:rPr>
          <w:lang w:eastAsia="ja-JP"/>
        </w:rPr>
        <w:t xml:space="preserve"> </w:t>
      </w:r>
      <w:r w:rsidR="00441FC7">
        <w:rPr>
          <w:lang w:eastAsia="ja-JP"/>
        </w:rPr>
        <w:t xml:space="preserve">to ensure </w:t>
      </w:r>
      <w:r w:rsidR="00F66F9C">
        <w:rPr>
          <w:lang w:eastAsia="ja-JP"/>
        </w:rPr>
        <w:t xml:space="preserve">total </w:t>
      </w:r>
      <w:r w:rsidR="00441FC7">
        <w:rPr>
          <w:lang w:eastAsia="ja-JP"/>
        </w:rPr>
        <w:t>fees charged by an administrator</w:t>
      </w:r>
      <w:r w:rsidR="00F66F9C">
        <w:rPr>
          <w:lang w:eastAsia="ja-JP"/>
        </w:rPr>
        <w:t xml:space="preserve"> had regard to the capacity of the represented person to pay the fees.</w:t>
      </w:r>
    </w:p>
    <w:p w14:paraId="2A0EFF41" w14:textId="55B994D7" w:rsidR="003C6F6A" w:rsidRDefault="00F66F9C" w:rsidP="001D39DC">
      <w:pPr>
        <w:rPr>
          <w:lang w:eastAsia="ja-JP"/>
        </w:rPr>
      </w:pPr>
      <w:r>
        <w:rPr>
          <w:lang w:eastAsia="ja-JP"/>
        </w:rPr>
        <w:t xml:space="preserve">All other </w:t>
      </w:r>
      <w:r w:rsidR="00EA28FE">
        <w:rPr>
          <w:lang w:eastAsia="ja-JP"/>
        </w:rPr>
        <w:t>case</w:t>
      </w:r>
      <w:r w:rsidR="003052C7">
        <w:rPr>
          <w:lang w:eastAsia="ja-JP"/>
        </w:rPr>
        <w:t>s</w:t>
      </w:r>
      <w:r w:rsidR="00EA28FE">
        <w:rPr>
          <w:lang w:eastAsia="ja-JP"/>
        </w:rPr>
        <w:t xml:space="preserve"> </w:t>
      </w:r>
      <w:r w:rsidR="008970BA">
        <w:rPr>
          <w:lang w:eastAsia="ja-JP"/>
        </w:rPr>
        <w:t xml:space="preserve">in the sample reviewed </w:t>
      </w:r>
      <w:r w:rsidR="00EA28FE">
        <w:rPr>
          <w:lang w:eastAsia="ja-JP"/>
        </w:rPr>
        <w:t xml:space="preserve">had sufficient </w:t>
      </w:r>
      <w:r w:rsidR="008970BA">
        <w:rPr>
          <w:lang w:eastAsia="ja-JP"/>
        </w:rPr>
        <w:t xml:space="preserve">other </w:t>
      </w:r>
      <w:r w:rsidR="00EA28FE">
        <w:rPr>
          <w:lang w:eastAsia="ja-JP"/>
        </w:rPr>
        <w:t>income and/or asset liquidity.</w:t>
      </w:r>
      <w:r w:rsidR="00936A82">
        <w:rPr>
          <w:lang w:eastAsia="ja-JP"/>
        </w:rPr>
        <w:t xml:space="preserve"> This would in part reflect attention given at the time of appointment</w:t>
      </w:r>
      <w:r w:rsidR="00430E36">
        <w:rPr>
          <w:lang w:eastAsia="ja-JP"/>
        </w:rPr>
        <w:t xml:space="preserve">—i.e., represented persons with no </w:t>
      </w:r>
      <w:r w:rsidR="00D7487B">
        <w:rPr>
          <w:lang w:eastAsia="ja-JP"/>
        </w:rPr>
        <w:t xml:space="preserve">income stream other than a pension would </w:t>
      </w:r>
      <w:r w:rsidR="00B01F31">
        <w:rPr>
          <w:lang w:eastAsia="ja-JP"/>
        </w:rPr>
        <w:t>be</w:t>
      </w:r>
      <w:r w:rsidR="00D12581">
        <w:rPr>
          <w:lang w:eastAsia="ja-JP"/>
        </w:rPr>
        <w:t>,</w:t>
      </w:r>
      <w:r w:rsidR="00B01F31">
        <w:rPr>
          <w:lang w:eastAsia="ja-JP"/>
        </w:rPr>
        <w:t xml:space="preserve"> </w:t>
      </w:r>
      <w:r w:rsidR="00041461">
        <w:rPr>
          <w:lang w:eastAsia="ja-JP"/>
        </w:rPr>
        <w:t>in general</w:t>
      </w:r>
      <w:r w:rsidR="00D12581">
        <w:rPr>
          <w:lang w:eastAsia="ja-JP"/>
        </w:rPr>
        <w:t>,</w:t>
      </w:r>
      <w:r w:rsidR="00041461">
        <w:rPr>
          <w:lang w:eastAsia="ja-JP"/>
        </w:rPr>
        <w:t xml:space="preserve"> less likely </w:t>
      </w:r>
      <w:r w:rsidR="006A4B1C">
        <w:rPr>
          <w:lang w:eastAsia="ja-JP"/>
        </w:rPr>
        <w:t xml:space="preserve">to have a solicitor appointed as the </w:t>
      </w:r>
      <w:r w:rsidR="00B01F31">
        <w:rPr>
          <w:lang w:eastAsia="ja-JP"/>
        </w:rPr>
        <w:t xml:space="preserve">administrator. </w:t>
      </w:r>
      <w:r w:rsidR="00C24788">
        <w:rPr>
          <w:lang w:eastAsia="ja-JP"/>
        </w:rPr>
        <w:t>Nevertheless</w:t>
      </w:r>
      <w:r w:rsidR="00936A82">
        <w:rPr>
          <w:lang w:eastAsia="ja-JP"/>
        </w:rPr>
        <w:t xml:space="preserve">, </w:t>
      </w:r>
      <w:r w:rsidR="003052C7">
        <w:rPr>
          <w:lang w:eastAsia="ja-JP"/>
        </w:rPr>
        <w:t>there is a need to have</w:t>
      </w:r>
      <w:r w:rsidR="004E16B6">
        <w:rPr>
          <w:lang w:eastAsia="ja-JP"/>
        </w:rPr>
        <w:t xml:space="preserve"> additional</w:t>
      </w:r>
      <w:r w:rsidR="003052C7">
        <w:rPr>
          <w:lang w:eastAsia="ja-JP"/>
        </w:rPr>
        <w:t xml:space="preserve"> </w:t>
      </w:r>
      <w:r w:rsidR="004E16B6">
        <w:rPr>
          <w:lang w:eastAsia="ja-JP"/>
        </w:rPr>
        <w:t xml:space="preserve">safeguards </w:t>
      </w:r>
      <w:r w:rsidR="003052C7">
        <w:rPr>
          <w:lang w:eastAsia="ja-JP"/>
        </w:rPr>
        <w:t xml:space="preserve">in place </w:t>
      </w:r>
      <w:r w:rsidR="004E16B6">
        <w:rPr>
          <w:lang w:eastAsia="ja-JP"/>
        </w:rPr>
        <w:t xml:space="preserve">to encourage accessibility and fairness </w:t>
      </w:r>
      <w:r w:rsidR="00AD02D1">
        <w:rPr>
          <w:lang w:eastAsia="ja-JP"/>
        </w:rPr>
        <w:t xml:space="preserve">should </w:t>
      </w:r>
      <w:r w:rsidR="003052C7">
        <w:rPr>
          <w:lang w:eastAsia="ja-JP"/>
        </w:rPr>
        <w:t>situations such as this</w:t>
      </w:r>
      <w:r w:rsidR="00AD02D1">
        <w:rPr>
          <w:lang w:eastAsia="ja-JP"/>
        </w:rPr>
        <w:t xml:space="preserve"> arise</w:t>
      </w:r>
      <w:r w:rsidR="003052C7">
        <w:rPr>
          <w:lang w:eastAsia="ja-JP"/>
        </w:rPr>
        <w:t>.</w:t>
      </w:r>
    </w:p>
    <w:p w14:paraId="2B0DF5EF" w14:textId="0212E6D7" w:rsidR="002E2C58" w:rsidRDefault="00BD298A" w:rsidP="001D39DC">
      <w:pPr>
        <w:rPr>
          <w:lang w:eastAsia="ja-JP"/>
        </w:rPr>
      </w:pPr>
      <w:r>
        <w:rPr>
          <w:lang w:eastAsia="ja-JP"/>
        </w:rPr>
        <w:t>A review of</w:t>
      </w:r>
      <w:r w:rsidR="000039B6">
        <w:rPr>
          <w:lang w:eastAsia="ja-JP"/>
        </w:rPr>
        <w:t xml:space="preserve"> the </w:t>
      </w:r>
      <w:r w:rsidR="001316B1">
        <w:rPr>
          <w:lang w:eastAsia="ja-JP"/>
        </w:rPr>
        <w:t xml:space="preserve">sample of administrator invoices </w:t>
      </w:r>
      <w:r>
        <w:rPr>
          <w:lang w:eastAsia="ja-JP"/>
        </w:rPr>
        <w:t>highlighted</w:t>
      </w:r>
      <w:r w:rsidR="001316B1">
        <w:rPr>
          <w:lang w:eastAsia="ja-JP"/>
        </w:rPr>
        <w:t xml:space="preserve"> the following:</w:t>
      </w:r>
    </w:p>
    <w:p w14:paraId="31F088F7" w14:textId="46C4F38A" w:rsidR="001316B1" w:rsidRDefault="001316B1" w:rsidP="00465CC0">
      <w:pPr>
        <w:pStyle w:val="ListParagraph"/>
        <w:numPr>
          <w:ilvl w:val="0"/>
          <w:numId w:val="13"/>
        </w:numPr>
        <w:rPr>
          <w:lang w:eastAsia="ja-JP"/>
        </w:rPr>
      </w:pPr>
      <w:r>
        <w:rPr>
          <w:lang w:eastAsia="ja-JP"/>
        </w:rPr>
        <w:t xml:space="preserve">Only </w:t>
      </w:r>
      <w:r w:rsidR="00613547">
        <w:rPr>
          <w:lang w:eastAsia="ja-JP"/>
        </w:rPr>
        <w:t>one</w:t>
      </w:r>
      <w:r>
        <w:rPr>
          <w:lang w:eastAsia="ja-JP"/>
        </w:rPr>
        <w:t xml:space="preserve"> invoice in the sample</w:t>
      </w:r>
      <w:r w:rsidR="004E16B6">
        <w:rPr>
          <w:lang w:eastAsia="ja-JP"/>
        </w:rPr>
        <w:t>s</w:t>
      </w:r>
      <w:r>
        <w:rPr>
          <w:lang w:eastAsia="ja-JP"/>
        </w:rPr>
        <w:t xml:space="preserve"> provided</w:t>
      </w:r>
      <w:r w:rsidR="00DC4679">
        <w:rPr>
          <w:lang w:eastAsia="ja-JP"/>
        </w:rPr>
        <w:t xml:space="preserve"> clearly set out</w:t>
      </w:r>
      <w:r w:rsidR="00AB75B6">
        <w:rPr>
          <w:lang w:eastAsia="ja-JP"/>
        </w:rPr>
        <w:t xml:space="preserve"> a basis on which the remuneration could be calculated—i.e., </w:t>
      </w:r>
      <w:r w:rsidR="00231B23">
        <w:rPr>
          <w:lang w:eastAsia="ja-JP"/>
        </w:rPr>
        <w:t>for each performed task listed, it showed the quantity of the task (e.g., units</w:t>
      </w:r>
      <w:r w:rsidR="00CA1895">
        <w:rPr>
          <w:lang w:eastAsia="ja-JP"/>
        </w:rPr>
        <w:t xml:space="preserve"> under the PRO) and the </w:t>
      </w:r>
      <w:r w:rsidR="006064AD">
        <w:rPr>
          <w:lang w:eastAsia="ja-JP"/>
        </w:rPr>
        <w:t xml:space="preserve">cost attributable to each task. However, </w:t>
      </w:r>
      <w:r w:rsidR="00010E0F">
        <w:rPr>
          <w:lang w:eastAsia="ja-JP"/>
        </w:rPr>
        <w:t>a layperson would still need to consult and understand the PRO to verify that the charge for each task was correct, given</w:t>
      </w:r>
      <w:r w:rsidR="000A3005">
        <w:rPr>
          <w:lang w:eastAsia="ja-JP"/>
        </w:rPr>
        <w:t xml:space="preserve"> the PRO rates are different for different tasks and calculated in different ways.</w:t>
      </w:r>
    </w:p>
    <w:p w14:paraId="58D1D400" w14:textId="767CB463" w:rsidR="000A3005" w:rsidRDefault="000A3005" w:rsidP="00465CC0">
      <w:pPr>
        <w:pStyle w:val="ListParagraph"/>
        <w:numPr>
          <w:ilvl w:val="0"/>
          <w:numId w:val="13"/>
        </w:numPr>
        <w:rPr>
          <w:lang w:eastAsia="ja-JP"/>
        </w:rPr>
      </w:pPr>
      <w:r>
        <w:rPr>
          <w:lang w:eastAsia="ja-JP"/>
        </w:rPr>
        <w:t xml:space="preserve">All other invoices reviewed did not provide sufficient transparency to </w:t>
      </w:r>
      <w:r w:rsidR="000C7B56">
        <w:rPr>
          <w:lang w:eastAsia="ja-JP"/>
        </w:rPr>
        <w:t xml:space="preserve">allow the remuneration to be checked. Most invoices provided </w:t>
      </w:r>
      <w:r w:rsidR="00C74398">
        <w:rPr>
          <w:lang w:eastAsia="ja-JP"/>
        </w:rPr>
        <w:t xml:space="preserve">merely a list of individual </w:t>
      </w:r>
      <w:r w:rsidR="00465CC0">
        <w:rPr>
          <w:lang w:eastAsia="ja-JP"/>
        </w:rPr>
        <w:t>activities</w:t>
      </w:r>
      <w:r w:rsidR="00C74398">
        <w:rPr>
          <w:lang w:eastAsia="ja-JP"/>
        </w:rPr>
        <w:t xml:space="preserve"> and a total remuneration amount, with no information about the </w:t>
      </w:r>
      <w:r w:rsidR="00465CC0">
        <w:rPr>
          <w:lang w:eastAsia="ja-JP"/>
        </w:rPr>
        <w:t>quantity</w:t>
      </w:r>
      <w:r w:rsidR="00C74398">
        <w:rPr>
          <w:lang w:eastAsia="ja-JP"/>
        </w:rPr>
        <w:t xml:space="preserve"> of each activity (e.g., time taken or </w:t>
      </w:r>
      <w:r w:rsidR="00A9490D">
        <w:rPr>
          <w:lang w:eastAsia="ja-JP"/>
        </w:rPr>
        <w:t xml:space="preserve">size of documents), and no information about the rate charged for each activity. A represented person or their family would have </w:t>
      </w:r>
      <w:r w:rsidR="00981F05">
        <w:rPr>
          <w:lang w:eastAsia="ja-JP"/>
        </w:rPr>
        <w:t>limited ability to confirm that the remuneration was correct.</w:t>
      </w:r>
    </w:p>
    <w:p w14:paraId="7EF6F2CC" w14:textId="31F63DB9" w:rsidR="00981F05" w:rsidRDefault="00981F05" w:rsidP="00465CC0">
      <w:pPr>
        <w:pStyle w:val="ListParagraph"/>
        <w:numPr>
          <w:ilvl w:val="0"/>
          <w:numId w:val="13"/>
        </w:numPr>
        <w:rPr>
          <w:lang w:eastAsia="ja-JP"/>
        </w:rPr>
      </w:pPr>
      <w:r>
        <w:rPr>
          <w:lang w:eastAsia="ja-JP"/>
        </w:rPr>
        <w:t xml:space="preserve">The descriptions of work performed by an </w:t>
      </w:r>
      <w:r w:rsidR="00465CC0">
        <w:rPr>
          <w:lang w:eastAsia="ja-JP"/>
        </w:rPr>
        <w:t>administrator</w:t>
      </w:r>
      <w:r>
        <w:rPr>
          <w:lang w:eastAsia="ja-JP"/>
        </w:rPr>
        <w:t xml:space="preserve"> varied considerably between the examples reviewed. </w:t>
      </w:r>
      <w:r w:rsidR="00C853FA">
        <w:rPr>
          <w:lang w:eastAsia="ja-JP"/>
        </w:rPr>
        <w:t>About half</w:t>
      </w:r>
      <w:r>
        <w:rPr>
          <w:lang w:eastAsia="ja-JP"/>
        </w:rPr>
        <w:t xml:space="preserve"> were quite clear as to what was done</w:t>
      </w:r>
      <w:r w:rsidR="00FF63BC">
        <w:rPr>
          <w:lang w:eastAsia="ja-JP"/>
        </w:rPr>
        <w:t>;</w:t>
      </w:r>
      <w:r>
        <w:rPr>
          <w:lang w:eastAsia="ja-JP"/>
        </w:rPr>
        <w:t xml:space="preserve"> others only had very vague descriptions</w:t>
      </w:r>
      <w:r w:rsidR="00FF63BC">
        <w:rPr>
          <w:lang w:eastAsia="ja-JP"/>
        </w:rPr>
        <w:t xml:space="preserve"> of the activity</w:t>
      </w:r>
      <w:r>
        <w:rPr>
          <w:lang w:eastAsia="ja-JP"/>
        </w:rPr>
        <w:t xml:space="preserve">. As such, for those latter examples, it </w:t>
      </w:r>
      <w:r w:rsidR="009C0CB7">
        <w:rPr>
          <w:lang w:eastAsia="ja-JP"/>
        </w:rPr>
        <w:t>would be</w:t>
      </w:r>
      <w:r>
        <w:rPr>
          <w:lang w:eastAsia="ja-JP"/>
        </w:rPr>
        <w:t xml:space="preserve"> unclear from </w:t>
      </w:r>
      <w:r w:rsidR="009C0CB7">
        <w:rPr>
          <w:lang w:eastAsia="ja-JP"/>
        </w:rPr>
        <w:t xml:space="preserve">relying only on the invoice provided as to whether the task performed was </w:t>
      </w:r>
      <w:r w:rsidR="00465CC0">
        <w:rPr>
          <w:lang w:eastAsia="ja-JP"/>
        </w:rPr>
        <w:t>genuinely</w:t>
      </w:r>
      <w:r w:rsidR="006B6041">
        <w:rPr>
          <w:lang w:eastAsia="ja-JP"/>
        </w:rPr>
        <w:t xml:space="preserve"> necessary </w:t>
      </w:r>
      <w:r w:rsidR="00C853FA">
        <w:rPr>
          <w:lang w:eastAsia="ja-JP"/>
        </w:rPr>
        <w:t xml:space="preserve">as part of the </w:t>
      </w:r>
      <w:r w:rsidR="00465CC0">
        <w:rPr>
          <w:lang w:eastAsia="ja-JP"/>
        </w:rPr>
        <w:t>administrator’s</w:t>
      </w:r>
      <w:r w:rsidR="00C853FA">
        <w:rPr>
          <w:lang w:eastAsia="ja-JP"/>
        </w:rPr>
        <w:t xml:space="preserve"> duties, or to determine for w</w:t>
      </w:r>
      <w:r w:rsidR="00465CC0">
        <w:rPr>
          <w:lang w:eastAsia="ja-JP"/>
        </w:rPr>
        <w:t>h</w:t>
      </w:r>
      <w:r w:rsidR="00C853FA">
        <w:rPr>
          <w:lang w:eastAsia="ja-JP"/>
        </w:rPr>
        <w:t xml:space="preserve">at </w:t>
      </w:r>
      <w:r w:rsidR="00465CC0">
        <w:rPr>
          <w:lang w:eastAsia="ja-JP"/>
        </w:rPr>
        <w:t>purpose</w:t>
      </w:r>
      <w:r w:rsidR="00C853FA">
        <w:rPr>
          <w:lang w:eastAsia="ja-JP"/>
        </w:rPr>
        <w:t xml:space="preserve"> the task was performed.</w:t>
      </w:r>
    </w:p>
    <w:p w14:paraId="4F2FF972" w14:textId="68B0D081" w:rsidR="00FF63BC" w:rsidRDefault="00FF63BC" w:rsidP="00465CC0">
      <w:pPr>
        <w:pStyle w:val="ListParagraph"/>
        <w:numPr>
          <w:ilvl w:val="0"/>
          <w:numId w:val="13"/>
        </w:numPr>
        <w:rPr>
          <w:lang w:eastAsia="ja-JP"/>
        </w:rPr>
      </w:pPr>
      <w:r>
        <w:rPr>
          <w:lang w:eastAsia="ja-JP"/>
        </w:rPr>
        <w:t>It is expected that some of the tasks listed in the sample of invoices included legal work</w:t>
      </w:r>
      <w:r w:rsidR="00C31103">
        <w:rPr>
          <w:lang w:eastAsia="ja-JP"/>
        </w:rPr>
        <w:t xml:space="preserve"> (other than litigation separately approved under s</w:t>
      </w:r>
      <w:r w:rsidR="00454311">
        <w:rPr>
          <w:lang w:eastAsia="ja-JP"/>
        </w:rPr>
        <w:t>ection</w:t>
      </w:r>
      <w:r w:rsidR="00C31103">
        <w:rPr>
          <w:lang w:eastAsia="ja-JP"/>
        </w:rPr>
        <w:t xml:space="preserve"> 51</w:t>
      </w:r>
      <w:r w:rsidR="00962E8B">
        <w:rPr>
          <w:lang w:eastAsia="ja-JP"/>
        </w:rPr>
        <w:t xml:space="preserve"> of the GAA</w:t>
      </w:r>
      <w:r w:rsidR="00C31103">
        <w:rPr>
          <w:lang w:eastAsia="ja-JP"/>
        </w:rPr>
        <w:t xml:space="preserve">). However, there was not sufficient information in any of the </w:t>
      </w:r>
      <w:r w:rsidR="00465CC0">
        <w:rPr>
          <w:lang w:eastAsia="ja-JP"/>
        </w:rPr>
        <w:t>invoices</w:t>
      </w:r>
      <w:r w:rsidR="00C31103">
        <w:rPr>
          <w:lang w:eastAsia="ja-JP"/>
        </w:rPr>
        <w:t xml:space="preserve"> reviewed to clearly </w:t>
      </w:r>
      <w:r w:rsidR="00465CC0">
        <w:rPr>
          <w:lang w:eastAsia="ja-JP"/>
        </w:rPr>
        <w:t>differentiate</w:t>
      </w:r>
      <w:r w:rsidR="00C31103">
        <w:rPr>
          <w:lang w:eastAsia="ja-JP"/>
        </w:rPr>
        <w:t xml:space="preserve"> between core adm</w:t>
      </w:r>
      <w:r w:rsidR="00465CC0">
        <w:rPr>
          <w:lang w:eastAsia="ja-JP"/>
        </w:rPr>
        <w:t>inistrator</w:t>
      </w:r>
      <w:r w:rsidR="00C31103">
        <w:rPr>
          <w:lang w:eastAsia="ja-JP"/>
        </w:rPr>
        <w:t xml:space="preserve"> work and </w:t>
      </w:r>
      <w:r w:rsidR="00C809B0">
        <w:rPr>
          <w:lang w:eastAsia="ja-JP"/>
        </w:rPr>
        <w:t>other tasks that directly draw on the legal services of the admi</w:t>
      </w:r>
      <w:r w:rsidR="00465CC0">
        <w:rPr>
          <w:lang w:eastAsia="ja-JP"/>
        </w:rPr>
        <w:t>nistrator</w:t>
      </w:r>
      <w:r w:rsidR="00C809B0">
        <w:rPr>
          <w:lang w:eastAsia="ja-JP"/>
        </w:rPr>
        <w:t xml:space="preserve"> (e.g., legal advice, preparing contracts or wills).</w:t>
      </w:r>
    </w:p>
    <w:p w14:paraId="54F8451E" w14:textId="4B8FF172" w:rsidR="00465CC0" w:rsidRDefault="00465CC0" w:rsidP="00465CC0">
      <w:pPr>
        <w:pStyle w:val="ListParagraph"/>
        <w:numPr>
          <w:ilvl w:val="0"/>
          <w:numId w:val="13"/>
        </w:numPr>
        <w:rPr>
          <w:lang w:eastAsia="ja-JP"/>
        </w:rPr>
      </w:pPr>
      <w:r>
        <w:rPr>
          <w:lang w:eastAsia="ja-JP"/>
        </w:rPr>
        <w:t xml:space="preserve">A number of invoices included a statement that the remuneration had been reviewed by an independent cost </w:t>
      </w:r>
      <w:r w:rsidR="00E305F3">
        <w:rPr>
          <w:lang w:eastAsia="ja-JP"/>
        </w:rPr>
        <w:t>consultant</w:t>
      </w:r>
      <w:r>
        <w:rPr>
          <w:lang w:eastAsia="ja-JP"/>
        </w:rPr>
        <w:t xml:space="preserve"> (or included a letter from a cost consultant). While this may provide some assurance, it </w:t>
      </w:r>
      <w:r w:rsidR="00E305F3">
        <w:rPr>
          <w:lang w:eastAsia="ja-JP"/>
        </w:rPr>
        <w:t>does not provide transparency as to</w:t>
      </w:r>
      <w:r w:rsidR="00477A8F">
        <w:rPr>
          <w:lang w:eastAsia="ja-JP"/>
        </w:rPr>
        <w:t xml:space="preserve"> understanding why certain tasks may have been performed, or the ability to scrutinise the time spen</w:t>
      </w:r>
      <w:r w:rsidR="003652B4">
        <w:rPr>
          <w:lang w:eastAsia="ja-JP"/>
        </w:rPr>
        <w:t>t</w:t>
      </w:r>
      <w:r w:rsidR="00477A8F">
        <w:rPr>
          <w:lang w:eastAsia="ja-JP"/>
        </w:rPr>
        <w:t xml:space="preserve"> on certain activities.</w:t>
      </w:r>
    </w:p>
    <w:p w14:paraId="0CC3AB29" w14:textId="039EEF29" w:rsidR="00573663" w:rsidRDefault="004A7C00" w:rsidP="00EA1AF7">
      <w:pPr>
        <w:pStyle w:val="ListParagraph"/>
        <w:numPr>
          <w:ilvl w:val="0"/>
          <w:numId w:val="13"/>
        </w:numPr>
        <w:rPr>
          <w:lang w:eastAsia="ja-JP"/>
        </w:rPr>
      </w:pPr>
      <w:r>
        <w:rPr>
          <w:lang w:eastAsia="ja-JP"/>
        </w:rPr>
        <w:t xml:space="preserve">Some invoices appeared to </w:t>
      </w:r>
      <w:r w:rsidR="0035051B">
        <w:rPr>
          <w:lang w:eastAsia="ja-JP"/>
        </w:rPr>
        <w:t xml:space="preserve">actively </w:t>
      </w:r>
      <w:r>
        <w:rPr>
          <w:lang w:eastAsia="ja-JP"/>
        </w:rPr>
        <w:t xml:space="preserve">discourage scrutiny, </w:t>
      </w:r>
      <w:r w:rsidR="006627D6">
        <w:rPr>
          <w:lang w:eastAsia="ja-JP"/>
        </w:rPr>
        <w:t xml:space="preserve">with </w:t>
      </w:r>
      <w:r w:rsidR="00E109AB">
        <w:rPr>
          <w:lang w:eastAsia="ja-JP"/>
        </w:rPr>
        <w:t xml:space="preserve">disclaimers that any disputes about the </w:t>
      </w:r>
      <w:r w:rsidR="00787160">
        <w:rPr>
          <w:lang w:eastAsia="ja-JP"/>
        </w:rPr>
        <w:t>remuneration</w:t>
      </w:r>
      <w:r w:rsidR="00E109AB">
        <w:rPr>
          <w:lang w:eastAsia="ja-JP"/>
        </w:rPr>
        <w:t xml:space="preserve"> charged would be </w:t>
      </w:r>
      <w:r w:rsidR="00E109AB" w:rsidRPr="00E109AB">
        <w:rPr>
          <w:lang w:eastAsia="ja-JP"/>
        </w:rPr>
        <w:t>assessed before the Supreme Court Costs Court</w:t>
      </w:r>
      <w:r w:rsidR="00787160">
        <w:rPr>
          <w:lang w:eastAsia="ja-JP"/>
        </w:rPr>
        <w:t xml:space="preserve"> or through a formal</w:t>
      </w:r>
      <w:r w:rsidR="00E109AB" w:rsidRPr="00E109AB">
        <w:rPr>
          <w:lang w:eastAsia="ja-JP"/>
        </w:rPr>
        <w:t xml:space="preserve"> complaint to the Victorian Legal Services Commissioner (VLSC)</w:t>
      </w:r>
      <w:r w:rsidR="00787160">
        <w:rPr>
          <w:lang w:eastAsia="ja-JP"/>
        </w:rPr>
        <w:t xml:space="preserve">. Only </w:t>
      </w:r>
      <w:r w:rsidR="00602077">
        <w:rPr>
          <w:lang w:eastAsia="ja-JP"/>
        </w:rPr>
        <w:t xml:space="preserve">a few of the invoices indicated that a person could speak with the principal about the </w:t>
      </w:r>
      <w:r w:rsidR="00B0269B">
        <w:rPr>
          <w:lang w:eastAsia="ja-JP"/>
        </w:rPr>
        <w:t>remuneration</w:t>
      </w:r>
      <w:r w:rsidR="00602077">
        <w:rPr>
          <w:lang w:eastAsia="ja-JP"/>
        </w:rPr>
        <w:t xml:space="preserve"> if they had any questions, and only one invoice reviewed indicated that </w:t>
      </w:r>
      <w:r w:rsidR="00B0269B">
        <w:rPr>
          <w:lang w:eastAsia="ja-JP"/>
        </w:rPr>
        <w:t>a person could request</w:t>
      </w:r>
      <w:r w:rsidR="003652B4">
        <w:rPr>
          <w:lang w:eastAsia="ja-JP"/>
        </w:rPr>
        <w:t>,</w:t>
      </w:r>
      <w:r w:rsidR="00B0269B">
        <w:rPr>
          <w:lang w:eastAsia="ja-JP"/>
        </w:rPr>
        <w:t xml:space="preserve"> at no charge</w:t>
      </w:r>
      <w:r w:rsidR="003652B4">
        <w:rPr>
          <w:lang w:eastAsia="ja-JP"/>
        </w:rPr>
        <w:t>,</w:t>
      </w:r>
      <w:r w:rsidR="00B0269B">
        <w:rPr>
          <w:lang w:eastAsia="ja-JP"/>
        </w:rPr>
        <w:t xml:space="preserve"> a more detailed breakdown of charges.</w:t>
      </w:r>
    </w:p>
    <w:p w14:paraId="1E310364" w14:textId="1301C23A" w:rsidR="00CA03A5" w:rsidRDefault="0011195E" w:rsidP="0011195E">
      <w:pPr>
        <w:rPr>
          <w:lang w:eastAsia="ja-JP"/>
        </w:rPr>
      </w:pPr>
      <w:r>
        <w:rPr>
          <w:lang w:eastAsia="ja-JP"/>
        </w:rPr>
        <w:t xml:space="preserve">The </w:t>
      </w:r>
      <w:r w:rsidR="00C31212">
        <w:rPr>
          <w:lang w:eastAsia="ja-JP"/>
        </w:rPr>
        <w:t>conclusions</w:t>
      </w:r>
      <w:r>
        <w:rPr>
          <w:lang w:eastAsia="ja-JP"/>
        </w:rPr>
        <w:t xml:space="preserve"> from the review of </w:t>
      </w:r>
      <w:r w:rsidR="00175DAD">
        <w:rPr>
          <w:lang w:eastAsia="ja-JP"/>
        </w:rPr>
        <w:t>the</w:t>
      </w:r>
      <w:r>
        <w:rPr>
          <w:lang w:eastAsia="ja-JP"/>
        </w:rPr>
        <w:t xml:space="preserve"> </w:t>
      </w:r>
      <w:r w:rsidR="00175DAD">
        <w:rPr>
          <w:lang w:eastAsia="ja-JP"/>
        </w:rPr>
        <w:t>case studies are</w:t>
      </w:r>
      <w:r w:rsidR="00CA03A5">
        <w:rPr>
          <w:lang w:eastAsia="ja-JP"/>
        </w:rPr>
        <w:t>:</w:t>
      </w:r>
    </w:p>
    <w:p w14:paraId="20446DDA" w14:textId="7B10F17D" w:rsidR="00A54AC8" w:rsidRDefault="00C31212" w:rsidP="003A673A">
      <w:pPr>
        <w:pStyle w:val="ListParagraph"/>
        <w:numPr>
          <w:ilvl w:val="0"/>
          <w:numId w:val="13"/>
        </w:numPr>
        <w:rPr>
          <w:lang w:eastAsia="ja-JP"/>
        </w:rPr>
      </w:pPr>
      <w:r>
        <w:rPr>
          <w:lang w:eastAsia="ja-JP"/>
        </w:rPr>
        <w:t>r</w:t>
      </w:r>
      <w:r w:rsidR="00E0034E">
        <w:rPr>
          <w:lang w:eastAsia="ja-JP"/>
        </w:rPr>
        <w:t xml:space="preserve">emuneration amounts </w:t>
      </w:r>
      <w:r w:rsidR="004E16B6">
        <w:rPr>
          <w:lang w:eastAsia="ja-JP"/>
        </w:rPr>
        <w:t xml:space="preserve">and charging practices </w:t>
      </w:r>
      <w:r w:rsidR="00E0034E">
        <w:rPr>
          <w:lang w:eastAsia="ja-JP"/>
        </w:rPr>
        <w:t>vary widely, with no clear predictability</w:t>
      </w:r>
      <w:r w:rsidR="00A54AC8">
        <w:rPr>
          <w:lang w:eastAsia="ja-JP"/>
        </w:rPr>
        <w:t xml:space="preserve"> </w:t>
      </w:r>
      <w:r w:rsidR="00E0034E">
        <w:rPr>
          <w:lang w:eastAsia="ja-JP"/>
        </w:rPr>
        <w:t>of the fees that will be payable</w:t>
      </w:r>
      <w:r w:rsidR="00A54AC8">
        <w:rPr>
          <w:lang w:eastAsia="ja-JP"/>
        </w:rPr>
        <w:t xml:space="preserve"> by a represented person</w:t>
      </w:r>
    </w:p>
    <w:p w14:paraId="358C9BD3" w14:textId="0C3225D0" w:rsidR="00E0034E" w:rsidRDefault="00D87C41" w:rsidP="003A673A">
      <w:pPr>
        <w:pStyle w:val="ListParagraph"/>
        <w:numPr>
          <w:ilvl w:val="0"/>
          <w:numId w:val="13"/>
        </w:numPr>
        <w:rPr>
          <w:lang w:eastAsia="ja-JP"/>
        </w:rPr>
      </w:pPr>
      <w:r>
        <w:rPr>
          <w:lang w:eastAsia="ja-JP"/>
        </w:rPr>
        <w:t xml:space="preserve">a standardised approach to fee setting will supplement existing protections, such as the ABA process, and help </w:t>
      </w:r>
      <w:r w:rsidR="00572708">
        <w:rPr>
          <w:lang w:eastAsia="ja-JP"/>
        </w:rPr>
        <w:t>guard</w:t>
      </w:r>
      <w:r w:rsidR="00825BB2">
        <w:rPr>
          <w:lang w:eastAsia="ja-JP"/>
        </w:rPr>
        <w:t xml:space="preserve"> against excessive </w:t>
      </w:r>
      <w:r w:rsidR="00C31212">
        <w:rPr>
          <w:lang w:eastAsia="ja-JP"/>
        </w:rPr>
        <w:t>remuneration</w:t>
      </w:r>
      <w:r w:rsidR="00825BB2">
        <w:rPr>
          <w:lang w:eastAsia="ja-JP"/>
        </w:rPr>
        <w:t xml:space="preserve"> fees</w:t>
      </w:r>
    </w:p>
    <w:p w14:paraId="7D0CF748" w14:textId="39838986" w:rsidR="0011195E" w:rsidRDefault="0011195E" w:rsidP="00C31212">
      <w:pPr>
        <w:pStyle w:val="ListParagraph"/>
        <w:numPr>
          <w:ilvl w:val="0"/>
          <w:numId w:val="13"/>
        </w:numPr>
        <w:rPr>
          <w:lang w:eastAsia="ja-JP"/>
        </w:rPr>
      </w:pPr>
      <w:r w:rsidRPr="003A673A">
        <w:rPr>
          <w:lang w:eastAsia="ja-JP"/>
        </w:rPr>
        <w:lastRenderedPageBreak/>
        <w:t xml:space="preserve">even </w:t>
      </w:r>
      <w:r w:rsidR="00825BB2">
        <w:rPr>
          <w:lang w:eastAsia="ja-JP"/>
        </w:rPr>
        <w:t>after</w:t>
      </w:r>
      <w:r w:rsidRPr="003A673A">
        <w:rPr>
          <w:lang w:eastAsia="ja-JP"/>
        </w:rPr>
        <w:t xml:space="preserve"> analysis of the case studies, it is still unclear how </w:t>
      </w:r>
      <w:r w:rsidR="00074A09">
        <w:rPr>
          <w:lang w:eastAsia="ja-JP"/>
        </w:rPr>
        <w:t xml:space="preserve">the </w:t>
      </w:r>
      <w:r w:rsidRPr="003A673A">
        <w:rPr>
          <w:lang w:eastAsia="ja-JP"/>
        </w:rPr>
        <w:t xml:space="preserve">PRO is applied and </w:t>
      </w:r>
      <w:r w:rsidR="00DD1E06">
        <w:rPr>
          <w:lang w:eastAsia="ja-JP"/>
        </w:rPr>
        <w:t xml:space="preserve">it </w:t>
      </w:r>
      <w:r w:rsidRPr="003A673A">
        <w:rPr>
          <w:lang w:eastAsia="ja-JP"/>
        </w:rPr>
        <w:t>remains an opaque remuneration process</w:t>
      </w:r>
      <w:r w:rsidR="00C31212">
        <w:rPr>
          <w:lang w:eastAsia="ja-JP"/>
        </w:rPr>
        <w:t>.</w:t>
      </w:r>
    </w:p>
    <w:p w14:paraId="0306A8E9" w14:textId="5FA1A3A9" w:rsidR="001F0E2B" w:rsidRPr="001D39DC" w:rsidRDefault="001F0E2B" w:rsidP="003A673A">
      <w:pPr>
        <w:rPr>
          <w:lang w:eastAsia="ja-JP"/>
        </w:rPr>
      </w:pPr>
      <w:r>
        <w:rPr>
          <w:lang w:eastAsia="ja-JP"/>
        </w:rPr>
        <w:t xml:space="preserve">Overall, </w:t>
      </w:r>
      <w:r w:rsidR="006016D0">
        <w:rPr>
          <w:lang w:eastAsia="ja-JP"/>
        </w:rPr>
        <w:t xml:space="preserve">the case studies indicate that the current </w:t>
      </w:r>
      <w:r w:rsidR="0010205A">
        <w:rPr>
          <w:lang w:eastAsia="ja-JP"/>
        </w:rPr>
        <w:t>arrangements</w:t>
      </w:r>
      <w:r w:rsidR="006016D0">
        <w:rPr>
          <w:lang w:eastAsia="ja-JP"/>
        </w:rPr>
        <w:t xml:space="preserve"> </w:t>
      </w:r>
      <w:r w:rsidR="00BB3A44">
        <w:rPr>
          <w:lang w:eastAsia="ja-JP"/>
        </w:rPr>
        <w:t>are sometimes at odds with the objectives and principles of the GAA</w:t>
      </w:r>
      <w:r w:rsidR="006016D0">
        <w:rPr>
          <w:lang w:eastAsia="ja-JP"/>
        </w:rPr>
        <w:t xml:space="preserve">, are not transparent and are too complex for most people to understand how remuneration has been determined. </w:t>
      </w:r>
      <w:r w:rsidR="003652B4">
        <w:rPr>
          <w:lang w:eastAsia="ja-JP"/>
        </w:rPr>
        <w:t xml:space="preserve">It is considered </w:t>
      </w:r>
      <w:r w:rsidR="0010309E">
        <w:rPr>
          <w:lang w:eastAsia="ja-JP"/>
        </w:rPr>
        <w:t>that a</w:t>
      </w:r>
      <w:r w:rsidR="002505A5">
        <w:rPr>
          <w:lang w:eastAsia="ja-JP"/>
        </w:rPr>
        <w:t>n</w:t>
      </w:r>
      <w:r w:rsidR="00F11689">
        <w:rPr>
          <w:lang w:eastAsia="ja-JP"/>
        </w:rPr>
        <w:t>y proposed changes to remuneration setting needs to ensure accessibility and fairness for</w:t>
      </w:r>
      <w:r w:rsidR="006016D0">
        <w:rPr>
          <w:lang w:eastAsia="ja-JP"/>
        </w:rPr>
        <w:t xml:space="preserve"> those persons </w:t>
      </w:r>
      <w:r w:rsidR="006062BF">
        <w:rPr>
          <w:lang w:eastAsia="ja-JP"/>
        </w:rPr>
        <w:t>under administration orders</w:t>
      </w:r>
      <w:r w:rsidR="0010309E">
        <w:rPr>
          <w:lang w:eastAsia="ja-JP"/>
        </w:rPr>
        <w:t>, balanced against the fair and attractive compensation of professional administrators.</w:t>
      </w:r>
    </w:p>
    <w:p w14:paraId="3EE45028" w14:textId="4CE8D954" w:rsidR="009C2FCB" w:rsidRDefault="00591E82" w:rsidP="00591E82">
      <w:pPr>
        <w:pStyle w:val="Heading2"/>
        <w:ind w:left="709" w:hanging="709"/>
        <w:rPr>
          <w:lang w:eastAsia="ja-JP"/>
        </w:rPr>
      </w:pPr>
      <w:bookmarkStart w:id="47" w:name="_Toc117064501"/>
      <w:bookmarkStart w:id="48" w:name="_Toc124917429"/>
      <w:r>
        <w:rPr>
          <w:lang w:eastAsia="ja-JP"/>
        </w:rPr>
        <w:t>Preliminary consultation</w:t>
      </w:r>
      <w:bookmarkEnd w:id="46"/>
      <w:bookmarkEnd w:id="47"/>
      <w:bookmarkEnd w:id="48"/>
    </w:p>
    <w:p w14:paraId="22E4677D" w14:textId="4DF282D9" w:rsidR="00591E82" w:rsidRDefault="00591E82" w:rsidP="00246741">
      <w:pPr>
        <w:rPr>
          <w:lang w:eastAsia="ja-JP"/>
        </w:rPr>
      </w:pPr>
      <w:r>
        <w:rPr>
          <w:lang w:eastAsia="ja-JP"/>
        </w:rPr>
        <w:t>During 2022, VCAT</w:t>
      </w:r>
      <w:r w:rsidR="00EF1DE1">
        <w:rPr>
          <w:lang w:eastAsia="ja-JP"/>
        </w:rPr>
        <w:t>—</w:t>
      </w:r>
      <w:r w:rsidR="00E248A9">
        <w:rPr>
          <w:lang w:eastAsia="ja-JP"/>
        </w:rPr>
        <w:t>wit</w:t>
      </w:r>
      <w:r w:rsidR="00E472BD">
        <w:rPr>
          <w:lang w:eastAsia="ja-JP"/>
        </w:rPr>
        <w:t xml:space="preserve">h our assistance </w:t>
      </w:r>
      <w:r w:rsidR="00EF1DE1">
        <w:rPr>
          <w:lang w:eastAsia="ja-JP"/>
        </w:rPr>
        <w:t>—</w:t>
      </w:r>
      <w:r>
        <w:rPr>
          <w:lang w:eastAsia="ja-JP"/>
        </w:rPr>
        <w:t>consulted with a number of stakeholders</w:t>
      </w:r>
      <w:r w:rsidR="00E248A9">
        <w:rPr>
          <w:lang w:eastAsia="ja-JP"/>
        </w:rPr>
        <w:t xml:space="preserve"> about </w:t>
      </w:r>
      <w:r w:rsidR="00607592">
        <w:rPr>
          <w:lang w:eastAsia="ja-JP"/>
        </w:rPr>
        <w:t>their views on the current arrangements, and the need to set a remuneration scale.</w:t>
      </w:r>
      <w:r w:rsidR="00515DAF">
        <w:rPr>
          <w:lang w:eastAsia="ja-JP"/>
        </w:rPr>
        <w:t xml:space="preserve"> These stakeholders included </w:t>
      </w:r>
      <w:proofErr w:type="spellStart"/>
      <w:r w:rsidR="00515DAF">
        <w:t>Villamanta</w:t>
      </w:r>
      <w:proofErr w:type="spellEnd"/>
      <w:r w:rsidR="00515DAF">
        <w:t xml:space="preserve">, Seniors Rights, Law Institute of Victoria, Australian Unity, Equity Trustees, State Trustees Ltd, six law firms (that together represent the majority of current administration orders to law firms) and an accounting firm that acts as </w:t>
      </w:r>
      <w:r w:rsidR="00C50099">
        <w:t xml:space="preserve">an </w:t>
      </w:r>
      <w:r w:rsidR="00515DAF">
        <w:t>administrator.</w:t>
      </w:r>
    </w:p>
    <w:p w14:paraId="73FBEC7F" w14:textId="6CAE4199" w:rsidR="00A71882" w:rsidRDefault="00A71882" w:rsidP="009C2FCB">
      <w:pPr>
        <w:rPr>
          <w:lang w:eastAsia="ja-JP"/>
        </w:rPr>
      </w:pPr>
      <w:r>
        <w:rPr>
          <w:lang w:eastAsia="ja-JP"/>
        </w:rPr>
        <w:t xml:space="preserve">Many of </w:t>
      </w:r>
      <w:r w:rsidR="009C2FCB">
        <w:rPr>
          <w:lang w:eastAsia="ja-JP"/>
        </w:rPr>
        <w:t xml:space="preserve">the administrators </w:t>
      </w:r>
      <w:r>
        <w:rPr>
          <w:lang w:eastAsia="ja-JP"/>
        </w:rPr>
        <w:t xml:space="preserve">that were </w:t>
      </w:r>
      <w:r w:rsidR="009C2FCB">
        <w:rPr>
          <w:lang w:eastAsia="ja-JP"/>
        </w:rPr>
        <w:t>consulted consider</w:t>
      </w:r>
      <w:r w:rsidR="00607592">
        <w:rPr>
          <w:lang w:eastAsia="ja-JP"/>
        </w:rPr>
        <w:t>ed</w:t>
      </w:r>
      <w:r w:rsidR="009C2FCB">
        <w:rPr>
          <w:lang w:eastAsia="ja-JP"/>
        </w:rPr>
        <w:t xml:space="preserve"> that transparency is achieved by having the remuneration methodology set up front</w:t>
      </w:r>
      <w:r>
        <w:rPr>
          <w:lang w:eastAsia="ja-JP"/>
        </w:rPr>
        <w:t>, and by having the fees reported against that methodology (and using independent cost consultants).</w:t>
      </w:r>
    </w:p>
    <w:p w14:paraId="597389A9" w14:textId="4D5829DA" w:rsidR="00A71882" w:rsidRDefault="00A71882" w:rsidP="009C2FCB">
      <w:pPr>
        <w:rPr>
          <w:lang w:eastAsia="ja-JP"/>
        </w:rPr>
      </w:pPr>
      <w:r>
        <w:rPr>
          <w:lang w:eastAsia="ja-JP"/>
        </w:rPr>
        <w:t>Feedback received from other stakeholders raised concerns regarding transparency of total fees. This feedback, along with our analysis, highlighted:</w:t>
      </w:r>
    </w:p>
    <w:p w14:paraId="2735E796" w14:textId="667D917C" w:rsidR="009C2FCB" w:rsidRDefault="009C2FCB" w:rsidP="009C2FCB">
      <w:pPr>
        <w:pStyle w:val="ListParagraph"/>
        <w:numPr>
          <w:ilvl w:val="0"/>
          <w:numId w:val="13"/>
        </w:numPr>
        <w:rPr>
          <w:lang w:eastAsia="ja-JP"/>
        </w:rPr>
      </w:pPr>
      <w:r>
        <w:rPr>
          <w:lang w:eastAsia="ja-JP"/>
        </w:rPr>
        <w:t>Despite the approach to fees being known at the start of the administration, the total amounts paid are often high</w:t>
      </w:r>
      <w:r w:rsidR="00790C28">
        <w:rPr>
          <w:lang w:eastAsia="ja-JP"/>
        </w:rPr>
        <w:t>er than the represented person expected</w:t>
      </w:r>
      <w:r>
        <w:rPr>
          <w:lang w:eastAsia="ja-JP"/>
        </w:rPr>
        <w:t xml:space="preserve"> (and rarely lower than expected). There are difficulties in being able to predict what the total fees will amount to</w:t>
      </w:r>
      <w:r w:rsidR="00170E85">
        <w:rPr>
          <w:lang w:eastAsia="ja-JP"/>
        </w:rPr>
        <w:t>.</w:t>
      </w:r>
    </w:p>
    <w:p w14:paraId="5A0226FA" w14:textId="4947614A" w:rsidR="009C2FCB" w:rsidRDefault="009C2FCB" w:rsidP="009C2FCB">
      <w:pPr>
        <w:pStyle w:val="ListParagraph"/>
        <w:numPr>
          <w:ilvl w:val="0"/>
          <w:numId w:val="13"/>
        </w:numPr>
        <w:rPr>
          <w:lang w:eastAsia="ja-JP"/>
        </w:rPr>
      </w:pPr>
      <w:r>
        <w:rPr>
          <w:lang w:eastAsia="ja-JP"/>
        </w:rPr>
        <w:t>It is difficult for a represent</w:t>
      </w:r>
      <w:r w:rsidR="00170E85">
        <w:rPr>
          <w:lang w:eastAsia="ja-JP"/>
        </w:rPr>
        <w:t>ed</w:t>
      </w:r>
      <w:r>
        <w:rPr>
          <w:lang w:eastAsia="ja-JP"/>
        </w:rPr>
        <w:t xml:space="preserve"> person or their family to </w:t>
      </w:r>
      <w:r w:rsidR="00FA32E8">
        <w:rPr>
          <w:lang w:eastAsia="ja-JP"/>
        </w:rPr>
        <w:t>understand</w:t>
      </w:r>
      <w:r>
        <w:rPr>
          <w:lang w:eastAsia="ja-JP"/>
        </w:rPr>
        <w:t xml:space="preserve"> why the services (or the amount of time spent) were needed.</w:t>
      </w:r>
    </w:p>
    <w:p w14:paraId="1F9E3B95" w14:textId="77777777" w:rsidR="009C2FCB" w:rsidRDefault="009C2FCB" w:rsidP="009C2FCB">
      <w:pPr>
        <w:pStyle w:val="ListParagraph"/>
        <w:numPr>
          <w:ilvl w:val="0"/>
          <w:numId w:val="13"/>
        </w:numPr>
        <w:rPr>
          <w:lang w:eastAsia="ja-JP"/>
        </w:rPr>
      </w:pPr>
      <w:r>
        <w:rPr>
          <w:lang w:eastAsia="ja-JP"/>
        </w:rPr>
        <w:t>It is sometimes unclear why a represented person is paying for a service they are possibly not receiving or do not believe they require.</w:t>
      </w:r>
    </w:p>
    <w:p w14:paraId="14609926" w14:textId="7D717B73" w:rsidR="009C2FCB" w:rsidRDefault="009C2FCB" w:rsidP="009C2FCB">
      <w:pPr>
        <w:pStyle w:val="ListParagraph"/>
        <w:numPr>
          <w:ilvl w:val="0"/>
          <w:numId w:val="13"/>
        </w:numPr>
        <w:rPr>
          <w:lang w:eastAsia="ja-JP"/>
        </w:rPr>
      </w:pPr>
      <w:r>
        <w:rPr>
          <w:lang w:eastAsia="ja-JP"/>
        </w:rPr>
        <w:t>There is an additional cost for the represented person when costs consultants are used</w:t>
      </w:r>
      <w:r w:rsidR="00170E85">
        <w:rPr>
          <w:lang w:eastAsia="ja-JP"/>
        </w:rPr>
        <w:t>.</w:t>
      </w:r>
    </w:p>
    <w:p w14:paraId="5F6B6A53" w14:textId="32192626" w:rsidR="00BD6762" w:rsidRDefault="000E2422" w:rsidP="00BD6762">
      <w:pPr>
        <w:rPr>
          <w:lang w:eastAsia="ja-JP"/>
        </w:rPr>
      </w:pPr>
      <w:r>
        <w:rPr>
          <w:lang w:eastAsia="ja-JP"/>
        </w:rPr>
        <w:t>Other f</w:t>
      </w:r>
      <w:r w:rsidR="00BD6762">
        <w:rPr>
          <w:lang w:eastAsia="ja-JP"/>
        </w:rPr>
        <w:t>eedback from stakeholders suggested a number of measures that could be taken to improve confidence in the remuneration arrangements</w:t>
      </w:r>
      <w:r>
        <w:rPr>
          <w:lang w:eastAsia="ja-JP"/>
        </w:rPr>
        <w:t xml:space="preserve">, which </w:t>
      </w:r>
      <w:r w:rsidR="009568F6">
        <w:rPr>
          <w:lang w:eastAsia="ja-JP"/>
        </w:rPr>
        <w:t>are</w:t>
      </w:r>
      <w:r>
        <w:rPr>
          <w:lang w:eastAsia="ja-JP"/>
        </w:rPr>
        <w:t xml:space="preserve"> not </w:t>
      </w:r>
      <w:r w:rsidR="007E7E91">
        <w:rPr>
          <w:lang w:eastAsia="ja-JP"/>
        </w:rPr>
        <w:t xml:space="preserve">accepted </w:t>
      </w:r>
      <w:r w:rsidR="002F1D11">
        <w:rPr>
          <w:lang w:eastAsia="ja-JP"/>
        </w:rPr>
        <w:t xml:space="preserve">as a </w:t>
      </w:r>
      <w:r>
        <w:rPr>
          <w:lang w:eastAsia="ja-JP"/>
        </w:rPr>
        <w:t>feasible or practical</w:t>
      </w:r>
      <w:r w:rsidR="002F1D11">
        <w:rPr>
          <w:lang w:eastAsia="ja-JP"/>
        </w:rPr>
        <w:t xml:space="preserve"> way to address the known concerns</w:t>
      </w:r>
      <w:r w:rsidR="00BD6762">
        <w:rPr>
          <w:lang w:eastAsia="ja-JP"/>
        </w:rPr>
        <w:t>.</w:t>
      </w:r>
    </w:p>
    <w:p w14:paraId="36DAE132" w14:textId="56356A12" w:rsidR="00BD6762" w:rsidRDefault="00BD6762" w:rsidP="00BD6762">
      <w:pPr>
        <w:pStyle w:val="ListParagraph"/>
        <w:numPr>
          <w:ilvl w:val="0"/>
          <w:numId w:val="13"/>
        </w:numPr>
        <w:rPr>
          <w:lang w:eastAsia="ja-JP"/>
        </w:rPr>
      </w:pPr>
      <w:r>
        <w:rPr>
          <w:lang w:eastAsia="ja-JP"/>
        </w:rPr>
        <w:t xml:space="preserve">A common suggestion (by law firms) was that the PRO remains entirely appropriate for charging fees, and VCAT should instead mandate the use of cost consultants (or even appoint a panel of approved cost consultants) to validate that the fees being charged align with the PRO. As noted above, there are inherent problems with the use of the PRO to charge fees for the work of administrators, and the assurance provided by the use of cost consultants </w:t>
      </w:r>
      <w:r w:rsidR="00170E85">
        <w:rPr>
          <w:lang w:eastAsia="ja-JP"/>
        </w:rPr>
        <w:t xml:space="preserve">often </w:t>
      </w:r>
      <w:r>
        <w:rPr>
          <w:lang w:eastAsia="ja-JP"/>
        </w:rPr>
        <w:t>does not address the perceived problems with amounts of total fees. Further, expanding the use of cost consultants would inevitably add to the costs charged to the estates of represented person</w:t>
      </w:r>
      <w:r w:rsidR="00A71882">
        <w:rPr>
          <w:lang w:eastAsia="ja-JP"/>
        </w:rPr>
        <w:t>s</w:t>
      </w:r>
      <w:r>
        <w:rPr>
          <w:lang w:eastAsia="ja-JP"/>
        </w:rPr>
        <w:t>.</w:t>
      </w:r>
    </w:p>
    <w:p w14:paraId="05FE1C5A" w14:textId="5DC1B794" w:rsidR="00BD6762" w:rsidRDefault="00BD6762" w:rsidP="00BD6762">
      <w:pPr>
        <w:pStyle w:val="ListParagraph"/>
        <w:numPr>
          <w:ilvl w:val="0"/>
          <w:numId w:val="13"/>
        </w:numPr>
        <w:rPr>
          <w:lang w:eastAsia="ja-JP"/>
        </w:rPr>
      </w:pPr>
      <w:r>
        <w:rPr>
          <w:lang w:eastAsia="ja-JP"/>
        </w:rPr>
        <w:t>Similarly, some administrators (and some other stakeholders) suggested that a better approach would be for VCAT to take a more active approach in scrutinising the fees charged by administrators. While there are processes in place for reporting fees to VCAT through the</w:t>
      </w:r>
      <w:r w:rsidR="005B6471">
        <w:rPr>
          <w:lang w:eastAsia="ja-JP"/>
        </w:rPr>
        <w:t xml:space="preserve"> Account by Administrator (</w:t>
      </w:r>
      <w:r>
        <w:rPr>
          <w:lang w:eastAsia="ja-JP"/>
        </w:rPr>
        <w:t>ABA</w:t>
      </w:r>
      <w:r w:rsidR="005B6471">
        <w:rPr>
          <w:lang w:eastAsia="ja-JP"/>
        </w:rPr>
        <w:t>)</w:t>
      </w:r>
      <w:r>
        <w:rPr>
          <w:lang w:eastAsia="ja-JP"/>
        </w:rPr>
        <w:t xml:space="preserve"> process, and there are powers for VCAT to order an administrator to pay back any remuneration, it </w:t>
      </w:r>
      <w:r w:rsidR="00A71882">
        <w:rPr>
          <w:lang w:eastAsia="ja-JP"/>
        </w:rPr>
        <w:t>is</w:t>
      </w:r>
      <w:r>
        <w:rPr>
          <w:lang w:eastAsia="ja-JP"/>
        </w:rPr>
        <w:t xml:space="preserve"> impractical to expect that VCAT would be able </w:t>
      </w:r>
      <w:r>
        <w:rPr>
          <w:lang w:eastAsia="ja-JP"/>
        </w:rPr>
        <w:lastRenderedPageBreak/>
        <w:t>to undertake a detailed analysis of all fees charged by administrators. A more efficient way to improve assurance is a clearer and fairer fee structure.</w:t>
      </w:r>
    </w:p>
    <w:p w14:paraId="69141003" w14:textId="77777777" w:rsidR="00C50099" w:rsidRDefault="00C50099" w:rsidP="00C50099">
      <w:pPr>
        <w:rPr>
          <w:lang w:eastAsia="ja-JP"/>
        </w:rPr>
      </w:pPr>
      <w:r>
        <w:rPr>
          <w:lang w:eastAsia="ja-JP"/>
        </w:rPr>
        <w:t>These findings have informed the suggested remuneration scale outlined in the next section.</w:t>
      </w:r>
    </w:p>
    <w:p w14:paraId="6A4A3FBD" w14:textId="6B928B55" w:rsidR="004930D2" w:rsidRDefault="00264C39" w:rsidP="00170E85">
      <w:pPr>
        <w:rPr>
          <w:lang w:eastAsia="ja-JP"/>
        </w:rPr>
      </w:pPr>
      <w:r>
        <w:rPr>
          <w:lang w:eastAsia="ja-JP"/>
        </w:rPr>
        <w:t>VCAT</w:t>
      </w:r>
      <w:r w:rsidR="00F76907">
        <w:rPr>
          <w:lang w:eastAsia="ja-JP"/>
        </w:rPr>
        <w:t xml:space="preserve"> note</w:t>
      </w:r>
      <w:r>
        <w:rPr>
          <w:lang w:eastAsia="ja-JP"/>
        </w:rPr>
        <w:t>s</w:t>
      </w:r>
      <w:r w:rsidR="00F76907">
        <w:rPr>
          <w:lang w:eastAsia="ja-JP"/>
        </w:rPr>
        <w:t xml:space="preserve"> that most of the law firms consulted </w:t>
      </w:r>
      <w:r>
        <w:rPr>
          <w:lang w:eastAsia="ja-JP"/>
        </w:rPr>
        <w:t>to date</w:t>
      </w:r>
      <w:r w:rsidR="00F76907">
        <w:rPr>
          <w:lang w:eastAsia="ja-JP"/>
        </w:rPr>
        <w:t xml:space="preserve"> appear to be conscious of using what they consider to be the most appropriate rate for the task performed, even charging lower rates when the </w:t>
      </w:r>
      <w:r w:rsidR="000F78A4">
        <w:rPr>
          <w:lang w:eastAsia="ja-JP"/>
        </w:rPr>
        <w:t>administrator</w:t>
      </w:r>
      <w:r w:rsidR="00F76907">
        <w:rPr>
          <w:lang w:eastAsia="ja-JP"/>
        </w:rPr>
        <w:t xml:space="preserve"> actually performed the </w:t>
      </w:r>
      <w:r w:rsidR="000F78A4">
        <w:rPr>
          <w:lang w:eastAsia="ja-JP"/>
        </w:rPr>
        <w:t>task</w:t>
      </w:r>
      <w:r w:rsidR="00F76907">
        <w:rPr>
          <w:lang w:eastAsia="ja-JP"/>
        </w:rPr>
        <w:t xml:space="preserve"> personally</w:t>
      </w:r>
      <w:r w:rsidR="00E472BD">
        <w:rPr>
          <w:lang w:eastAsia="ja-JP"/>
        </w:rPr>
        <w:t xml:space="preserve"> (for example, for tasks that support staff would have the skills to undertake)</w:t>
      </w:r>
      <w:r w:rsidR="00F76907">
        <w:rPr>
          <w:lang w:eastAsia="ja-JP"/>
        </w:rPr>
        <w:t>. While this is welcomed, it further highlights that the PRO is not fit for purpose for the remuneration of administrators.</w:t>
      </w:r>
      <w:r w:rsidR="004930D2">
        <w:rPr>
          <w:lang w:eastAsia="ja-JP"/>
        </w:rPr>
        <w:br w:type="page"/>
      </w:r>
    </w:p>
    <w:p w14:paraId="71EB80D9" w14:textId="09D9426B" w:rsidR="00EA14CD" w:rsidRDefault="008B06EE" w:rsidP="004930D2">
      <w:pPr>
        <w:pStyle w:val="Heading1"/>
        <w:rPr>
          <w:lang w:eastAsia="ja-JP"/>
        </w:rPr>
      </w:pPr>
      <w:bookmarkStart w:id="49" w:name="_Toc117064502"/>
      <w:bookmarkStart w:id="50" w:name="_Toc115704188"/>
      <w:bookmarkStart w:id="51" w:name="_Toc124917430"/>
      <w:r>
        <w:rPr>
          <w:lang w:eastAsia="ja-JP"/>
        </w:rPr>
        <w:lastRenderedPageBreak/>
        <w:t xml:space="preserve">Addressing </w:t>
      </w:r>
      <w:r w:rsidR="007B2931">
        <w:rPr>
          <w:lang w:eastAsia="ja-JP"/>
        </w:rPr>
        <w:t>the problems by s</w:t>
      </w:r>
      <w:r w:rsidR="004930D2">
        <w:rPr>
          <w:lang w:eastAsia="ja-JP"/>
        </w:rPr>
        <w:t>etting a remuneration scale</w:t>
      </w:r>
      <w:bookmarkEnd w:id="49"/>
      <w:bookmarkEnd w:id="50"/>
      <w:bookmarkEnd w:id="51"/>
    </w:p>
    <w:p w14:paraId="27F0B443" w14:textId="77777777" w:rsidR="00AA7F17" w:rsidRPr="00170E85" w:rsidRDefault="00AA7F17" w:rsidP="00AA7F17">
      <w:pPr>
        <w:pStyle w:val="Heading2"/>
        <w:rPr>
          <w:lang w:eastAsia="ja-JP"/>
        </w:rPr>
      </w:pPr>
      <w:bookmarkStart w:id="52" w:name="_Toc117064503"/>
      <w:bookmarkStart w:id="53" w:name="_Toc115704189"/>
      <w:bookmarkStart w:id="54" w:name="_Toc124917431"/>
      <w:r w:rsidRPr="00170E85">
        <w:rPr>
          <w:lang w:eastAsia="ja-JP"/>
        </w:rPr>
        <w:t>Remuneration setting principles</w:t>
      </w:r>
      <w:bookmarkEnd w:id="52"/>
      <w:bookmarkEnd w:id="53"/>
      <w:bookmarkEnd w:id="54"/>
    </w:p>
    <w:p w14:paraId="18F80640" w14:textId="14CD3713" w:rsidR="00AA7F17" w:rsidRPr="005E2A9F" w:rsidRDefault="00AA7F17" w:rsidP="00AA7F17">
      <w:pPr>
        <w:rPr>
          <w:rFonts w:cstheme="minorHAnsi"/>
        </w:rPr>
      </w:pPr>
      <w:r w:rsidRPr="005E2A9F">
        <w:rPr>
          <w:rFonts w:cstheme="minorHAnsi"/>
          <w:lang w:eastAsia="ja-JP"/>
        </w:rPr>
        <w:t>In considering a framework to assess the effectiveness and fairness of remuneration principles, the Victorian Government</w:t>
      </w:r>
      <w:r w:rsidR="007F1EFB">
        <w:rPr>
          <w:rFonts w:cstheme="minorHAnsi"/>
          <w:lang w:eastAsia="ja-JP"/>
        </w:rPr>
        <w:t>’</w:t>
      </w:r>
      <w:r w:rsidRPr="005E2A9F">
        <w:rPr>
          <w:rFonts w:cstheme="minorHAnsi"/>
          <w:lang w:eastAsia="ja-JP"/>
        </w:rPr>
        <w:t xml:space="preserve">s </w:t>
      </w:r>
      <w:r w:rsidRPr="005E2A9F">
        <w:rPr>
          <w:rFonts w:cstheme="minorHAnsi"/>
          <w:i/>
          <w:iCs/>
          <w:lang w:eastAsia="ja-JP"/>
        </w:rPr>
        <w:t>Pricing for Value Guide</w:t>
      </w:r>
      <w:r w:rsidRPr="005E2A9F">
        <w:rPr>
          <w:rFonts w:cstheme="minorHAnsi"/>
          <w:lang w:eastAsia="ja-JP"/>
        </w:rPr>
        <w:t xml:space="preserve"> provide</w:t>
      </w:r>
      <w:r w:rsidR="009361F4">
        <w:rPr>
          <w:rFonts w:cstheme="minorHAnsi"/>
          <w:lang w:eastAsia="ja-JP"/>
        </w:rPr>
        <w:t>s</w:t>
      </w:r>
      <w:r w:rsidRPr="005E2A9F">
        <w:rPr>
          <w:rFonts w:cstheme="minorHAnsi"/>
          <w:lang w:eastAsia="ja-JP"/>
        </w:rPr>
        <w:t xml:space="preserve"> useful criteria. </w:t>
      </w:r>
      <w:r w:rsidR="005E2A9F">
        <w:rPr>
          <w:rFonts w:cstheme="minorHAnsi"/>
          <w:lang w:eastAsia="ja-JP"/>
        </w:rPr>
        <w:t xml:space="preserve">Such a framework may be adapted for a renumeration scale and includes </w:t>
      </w:r>
      <w:r w:rsidR="005E2A9F">
        <w:rPr>
          <w:rFonts w:cstheme="minorHAnsi"/>
        </w:rPr>
        <w:t>criteria</w:t>
      </w:r>
      <w:r w:rsidRPr="005E2A9F">
        <w:rPr>
          <w:rFonts w:cstheme="minorHAnsi"/>
        </w:rPr>
        <w:t xml:space="preserve"> </w:t>
      </w:r>
      <w:r w:rsidR="005E2A9F">
        <w:rPr>
          <w:rFonts w:cstheme="minorHAnsi"/>
        </w:rPr>
        <w:t>that</w:t>
      </w:r>
      <w:r w:rsidRPr="005E2A9F">
        <w:rPr>
          <w:rFonts w:cstheme="minorHAnsi"/>
        </w:rPr>
        <w:t xml:space="preserve"> relate to efficiency, equity, and simplicity, as described below:</w:t>
      </w:r>
    </w:p>
    <w:p w14:paraId="7E1472BA" w14:textId="5B9CFD2C" w:rsidR="00AA7F17" w:rsidRDefault="00AA7F17" w:rsidP="00044F99">
      <w:pPr>
        <w:pStyle w:val="ListParagraph"/>
        <w:numPr>
          <w:ilvl w:val="0"/>
          <w:numId w:val="38"/>
        </w:numPr>
        <w:spacing w:before="120"/>
        <w:ind w:left="426" w:hanging="357"/>
        <w:rPr>
          <w:rFonts w:cstheme="minorHAnsi"/>
        </w:rPr>
      </w:pPr>
      <w:bookmarkStart w:id="55" w:name="_Hlk124919247"/>
      <w:r w:rsidRPr="00917622">
        <w:rPr>
          <w:rFonts w:cstheme="minorHAnsi"/>
        </w:rPr>
        <w:t>Efficiency</w:t>
      </w:r>
      <w:r w:rsidR="005E2A9F">
        <w:rPr>
          <w:rFonts w:cstheme="minorHAnsi"/>
        </w:rPr>
        <w:t xml:space="preserve"> </w:t>
      </w:r>
      <w:r w:rsidRPr="005E2A9F">
        <w:rPr>
          <w:rFonts w:cstheme="minorHAnsi"/>
        </w:rPr>
        <w:t xml:space="preserve">relates to the extent to which </w:t>
      </w:r>
      <w:r w:rsidR="005E2A9F">
        <w:rPr>
          <w:rFonts w:cstheme="minorHAnsi"/>
        </w:rPr>
        <w:t>a remuneration scale provide</w:t>
      </w:r>
      <w:r w:rsidR="007F1EFB">
        <w:rPr>
          <w:rFonts w:cstheme="minorHAnsi"/>
        </w:rPr>
        <w:t>s</w:t>
      </w:r>
      <w:r w:rsidR="005E2A9F">
        <w:rPr>
          <w:rFonts w:cstheme="minorHAnsi"/>
        </w:rPr>
        <w:t xml:space="preserve"> efficient price signals </w:t>
      </w:r>
      <w:r w:rsidR="00B87D28">
        <w:rPr>
          <w:rFonts w:cstheme="minorHAnsi"/>
        </w:rPr>
        <w:t>about the economic</w:t>
      </w:r>
      <w:r w:rsidR="00177D1A">
        <w:rPr>
          <w:rFonts w:cstheme="minorHAnsi"/>
        </w:rPr>
        <w:t xml:space="preserve"> costs of providing services</w:t>
      </w:r>
      <w:r w:rsidRPr="005E2A9F">
        <w:rPr>
          <w:rFonts w:cstheme="minorHAnsi"/>
        </w:rPr>
        <w:t>.</w:t>
      </w:r>
      <w:r w:rsidR="005E2A9F">
        <w:rPr>
          <w:rFonts w:cstheme="minorHAnsi"/>
        </w:rPr>
        <w:t xml:space="preserve"> In this </w:t>
      </w:r>
      <w:r w:rsidR="0068180B">
        <w:rPr>
          <w:rFonts w:cstheme="minorHAnsi"/>
        </w:rPr>
        <w:t xml:space="preserve">perspective, </w:t>
      </w:r>
      <w:r w:rsidR="005E2A9F">
        <w:rPr>
          <w:rFonts w:cstheme="minorHAnsi"/>
        </w:rPr>
        <w:t xml:space="preserve">a remuneration scale should provide adequate returns to the service provider while recognising the </w:t>
      </w:r>
      <w:r w:rsidR="0068180B">
        <w:rPr>
          <w:rFonts w:cstheme="minorHAnsi"/>
        </w:rPr>
        <w:t>value of the service to</w:t>
      </w:r>
      <w:r w:rsidR="005E2A9F">
        <w:rPr>
          <w:rFonts w:cstheme="minorHAnsi"/>
        </w:rPr>
        <w:t xml:space="preserve"> the represented person. If remuneration is set too low then service providers will exit the market, and </w:t>
      </w:r>
      <w:r w:rsidR="00C84678">
        <w:rPr>
          <w:rFonts w:cstheme="minorHAnsi"/>
        </w:rPr>
        <w:t xml:space="preserve">some </w:t>
      </w:r>
      <w:r w:rsidR="005E2A9F">
        <w:rPr>
          <w:rFonts w:cstheme="minorHAnsi"/>
        </w:rPr>
        <w:t xml:space="preserve">represented persons will be </w:t>
      </w:r>
      <w:r w:rsidR="00C84678">
        <w:rPr>
          <w:rFonts w:cstheme="minorHAnsi"/>
        </w:rPr>
        <w:t>worse off by reduced choice of administrators</w:t>
      </w:r>
      <w:r w:rsidR="005E2A9F">
        <w:rPr>
          <w:rFonts w:cstheme="minorHAnsi"/>
        </w:rPr>
        <w:t>.</w:t>
      </w:r>
    </w:p>
    <w:p w14:paraId="03BB32DB" w14:textId="4A56F21D" w:rsidR="005E2ECE" w:rsidRDefault="005E2ECE" w:rsidP="006F4742">
      <w:pPr>
        <w:pStyle w:val="ListParagraph"/>
        <w:numPr>
          <w:ilvl w:val="0"/>
          <w:numId w:val="38"/>
        </w:numPr>
        <w:spacing w:before="120"/>
        <w:ind w:left="426" w:hanging="357"/>
        <w:rPr>
          <w:rFonts w:cstheme="minorHAnsi"/>
        </w:rPr>
      </w:pPr>
      <w:r>
        <w:rPr>
          <w:rFonts w:cstheme="minorHAnsi"/>
        </w:rPr>
        <w:t>Horizontal equity</w:t>
      </w:r>
      <w:r w:rsidR="002B401C">
        <w:rPr>
          <w:rFonts w:cstheme="minorHAnsi"/>
        </w:rPr>
        <w:t xml:space="preserve"> means that, in general, people in similar situations should pay the same for the same services they receive. In the context of administrators</w:t>
      </w:r>
      <w:r w:rsidR="00831469">
        <w:rPr>
          <w:rFonts w:cstheme="minorHAnsi"/>
        </w:rPr>
        <w:t xml:space="preserve">, this means that represented persons should not pay different fees for the same services merely because </w:t>
      </w:r>
      <w:r w:rsidR="006B0392">
        <w:rPr>
          <w:rFonts w:cstheme="minorHAnsi"/>
        </w:rPr>
        <w:t xml:space="preserve">of the identity or type of administrator that is appointed. While inevitably the services </w:t>
      </w:r>
      <w:r w:rsidR="008A5360">
        <w:rPr>
          <w:rFonts w:cstheme="minorHAnsi"/>
        </w:rPr>
        <w:t xml:space="preserve">received will be different from person to person, there is a core set of tasks that </w:t>
      </w:r>
      <w:r w:rsidR="00A66536">
        <w:rPr>
          <w:rFonts w:cstheme="minorHAnsi"/>
        </w:rPr>
        <w:t xml:space="preserve">are common across all </w:t>
      </w:r>
      <w:r w:rsidR="000519C6">
        <w:rPr>
          <w:rFonts w:cstheme="minorHAnsi"/>
        </w:rPr>
        <w:t>administrations.</w:t>
      </w:r>
    </w:p>
    <w:p w14:paraId="7A2A1AAE" w14:textId="383D3896" w:rsidR="00AA7F17" w:rsidRPr="005E2A9F" w:rsidRDefault="000519C6" w:rsidP="00044F99">
      <w:pPr>
        <w:pStyle w:val="ListParagraph"/>
        <w:numPr>
          <w:ilvl w:val="0"/>
          <w:numId w:val="38"/>
        </w:numPr>
        <w:spacing w:before="120"/>
        <w:ind w:left="426" w:hanging="357"/>
        <w:rPr>
          <w:rFonts w:cstheme="minorHAnsi"/>
        </w:rPr>
      </w:pPr>
      <w:r>
        <w:rPr>
          <w:rFonts w:cstheme="minorHAnsi"/>
        </w:rPr>
        <w:t>V</w:t>
      </w:r>
      <w:r w:rsidR="005E2A9F">
        <w:rPr>
          <w:rFonts w:cstheme="minorHAnsi"/>
        </w:rPr>
        <w:t xml:space="preserve">ertical equity </w:t>
      </w:r>
      <w:r w:rsidR="00461028">
        <w:rPr>
          <w:rFonts w:cstheme="minorHAnsi"/>
        </w:rPr>
        <w:t xml:space="preserve">imports a sense of ‘fairness’ and </w:t>
      </w:r>
      <w:r w:rsidR="005E2A9F">
        <w:rPr>
          <w:rFonts w:cstheme="minorHAnsi"/>
        </w:rPr>
        <w:t xml:space="preserve">represents </w:t>
      </w:r>
      <w:r w:rsidR="00461028">
        <w:rPr>
          <w:rFonts w:cstheme="minorHAnsi"/>
        </w:rPr>
        <w:t>a remuneration scale where</w:t>
      </w:r>
      <w:r w:rsidR="00AA7F17" w:rsidRPr="005E2A9F">
        <w:rPr>
          <w:rFonts w:cstheme="minorHAnsi"/>
        </w:rPr>
        <w:t xml:space="preserve"> people </w:t>
      </w:r>
      <w:r>
        <w:rPr>
          <w:rFonts w:cstheme="minorHAnsi"/>
        </w:rPr>
        <w:t xml:space="preserve">should only </w:t>
      </w:r>
      <w:r w:rsidR="00AA7F17" w:rsidRPr="005E2A9F">
        <w:rPr>
          <w:rFonts w:cstheme="minorHAnsi"/>
        </w:rPr>
        <w:t xml:space="preserve">pay according to their ability to pay. </w:t>
      </w:r>
    </w:p>
    <w:p w14:paraId="639F9A5F" w14:textId="6C2BCD4D" w:rsidR="00AA7F17" w:rsidRPr="005E2A9F" w:rsidRDefault="00AA7F17" w:rsidP="00461028">
      <w:pPr>
        <w:pStyle w:val="ListParagraph"/>
        <w:numPr>
          <w:ilvl w:val="1"/>
          <w:numId w:val="38"/>
        </w:numPr>
        <w:spacing w:before="120"/>
        <w:ind w:left="426"/>
        <w:rPr>
          <w:rFonts w:cstheme="minorHAnsi"/>
          <w:lang w:eastAsia="ja-JP"/>
        </w:rPr>
      </w:pPr>
      <w:r w:rsidRPr="00917622">
        <w:rPr>
          <w:rFonts w:cstheme="minorHAnsi"/>
        </w:rPr>
        <w:t>Simplicity</w:t>
      </w:r>
      <w:r w:rsidRPr="005E2A9F">
        <w:rPr>
          <w:rFonts w:cstheme="minorHAnsi"/>
        </w:rPr>
        <w:t xml:space="preserve"> means </w:t>
      </w:r>
      <w:r w:rsidR="005E2A9F" w:rsidRPr="005E2A9F">
        <w:rPr>
          <w:rFonts w:cstheme="minorHAnsi"/>
        </w:rPr>
        <w:t>the remuneration structure should be</w:t>
      </w:r>
      <w:r w:rsidRPr="005E2A9F">
        <w:rPr>
          <w:rFonts w:cstheme="minorHAnsi"/>
        </w:rPr>
        <w:t xml:space="preserve"> easy to understand, </w:t>
      </w:r>
      <w:r w:rsidR="005E2A9F" w:rsidRPr="005E2A9F">
        <w:rPr>
          <w:rFonts w:cstheme="minorHAnsi"/>
        </w:rPr>
        <w:t>simpl</w:t>
      </w:r>
      <w:r w:rsidR="007F1EFB">
        <w:rPr>
          <w:rFonts w:cstheme="minorHAnsi"/>
        </w:rPr>
        <w:t>e</w:t>
      </w:r>
      <w:r w:rsidR="005E2A9F" w:rsidRPr="005E2A9F">
        <w:rPr>
          <w:rFonts w:cstheme="minorHAnsi"/>
        </w:rPr>
        <w:t xml:space="preserve"> for</w:t>
      </w:r>
      <w:r w:rsidRPr="005E2A9F">
        <w:rPr>
          <w:rFonts w:cstheme="minorHAnsi"/>
        </w:rPr>
        <w:t xml:space="preserve"> government to administer</w:t>
      </w:r>
      <w:r w:rsidR="005E2A9F" w:rsidRPr="005E2A9F">
        <w:rPr>
          <w:rFonts w:cstheme="minorHAnsi"/>
        </w:rPr>
        <w:t>, and easy for the service provide</w:t>
      </w:r>
      <w:r w:rsidR="00DE5B65">
        <w:rPr>
          <w:rFonts w:cstheme="minorHAnsi"/>
        </w:rPr>
        <w:t>r</w:t>
      </w:r>
      <w:r w:rsidR="005E2A9F" w:rsidRPr="005E2A9F">
        <w:rPr>
          <w:rFonts w:cstheme="minorHAnsi"/>
        </w:rPr>
        <w:t xml:space="preserve"> to apply</w:t>
      </w:r>
      <w:r w:rsidRPr="005E2A9F">
        <w:rPr>
          <w:rFonts w:cstheme="minorHAnsi"/>
        </w:rPr>
        <w:t>.</w:t>
      </w:r>
    </w:p>
    <w:bookmarkEnd w:id="55"/>
    <w:p w14:paraId="467080A3" w14:textId="76F3DD7B" w:rsidR="00DE0BDE" w:rsidRDefault="00DE0BDE" w:rsidP="00AA7F17">
      <w:pPr>
        <w:rPr>
          <w:lang w:eastAsia="ja-JP"/>
        </w:rPr>
      </w:pPr>
      <w:r>
        <w:t>The Guide also emphasise</w:t>
      </w:r>
      <w:r w:rsidR="00F27108">
        <w:t>s</w:t>
      </w:r>
      <w:r>
        <w:t xml:space="preserve"> transparency as an objective: “Improve accessibility and transparency by making services and their associated fees easier for users to access, understand and use</w:t>
      </w:r>
      <w:r w:rsidR="009F65EA">
        <w:t>.</w:t>
      </w:r>
      <w:r>
        <w:t>”</w:t>
      </w:r>
      <w:r w:rsidR="00FB1FC9">
        <w:rPr>
          <w:rStyle w:val="FootnoteReference"/>
        </w:rPr>
        <w:footnoteReference w:id="11"/>
      </w:r>
    </w:p>
    <w:p w14:paraId="1FE579A5" w14:textId="2738BB27" w:rsidR="00AA7F17" w:rsidRPr="00AA7F17" w:rsidRDefault="00461028" w:rsidP="00AA7F17">
      <w:pPr>
        <w:rPr>
          <w:lang w:eastAsia="ja-JP"/>
        </w:rPr>
      </w:pPr>
      <w:r>
        <w:rPr>
          <w:lang w:eastAsia="ja-JP"/>
        </w:rPr>
        <w:t>These principles are articulated within the broad notion that the interests of the represented person are paramount.</w:t>
      </w:r>
      <w:r w:rsidR="00263EA8">
        <w:rPr>
          <w:lang w:eastAsia="ja-JP"/>
        </w:rPr>
        <w:t xml:space="preserve"> Section 3.</w:t>
      </w:r>
      <w:r w:rsidR="00897121">
        <w:rPr>
          <w:lang w:eastAsia="ja-JP"/>
        </w:rPr>
        <w:t>5</w:t>
      </w:r>
      <w:r w:rsidR="00263EA8">
        <w:rPr>
          <w:lang w:eastAsia="ja-JP"/>
        </w:rPr>
        <w:t xml:space="preserve"> below sets out design characteristic</w:t>
      </w:r>
      <w:r w:rsidR="003C401A">
        <w:rPr>
          <w:lang w:eastAsia="ja-JP"/>
        </w:rPr>
        <w:t>s</w:t>
      </w:r>
      <w:r w:rsidR="00263EA8">
        <w:rPr>
          <w:lang w:eastAsia="ja-JP"/>
        </w:rPr>
        <w:t xml:space="preserve"> of what an efficient, </w:t>
      </w:r>
      <w:r w:rsidR="00EA1AF7">
        <w:rPr>
          <w:lang w:eastAsia="ja-JP"/>
        </w:rPr>
        <w:t>e</w:t>
      </w:r>
      <w:r w:rsidR="00A71882">
        <w:rPr>
          <w:lang w:eastAsia="ja-JP"/>
        </w:rPr>
        <w:t>quitable</w:t>
      </w:r>
      <w:r w:rsidR="00263EA8">
        <w:rPr>
          <w:lang w:eastAsia="ja-JP"/>
        </w:rPr>
        <w:t xml:space="preserve">, and simple remuneration scale </w:t>
      </w:r>
      <w:r w:rsidR="00636B45">
        <w:rPr>
          <w:lang w:eastAsia="ja-JP"/>
        </w:rPr>
        <w:t xml:space="preserve">could </w:t>
      </w:r>
      <w:r w:rsidR="00263EA8">
        <w:rPr>
          <w:lang w:eastAsia="ja-JP"/>
        </w:rPr>
        <w:t>look like.</w:t>
      </w:r>
    </w:p>
    <w:p w14:paraId="573DA347" w14:textId="19F5877F" w:rsidR="004930D2" w:rsidRDefault="004930D2" w:rsidP="004930D2">
      <w:pPr>
        <w:pStyle w:val="Heading2"/>
        <w:rPr>
          <w:lang w:eastAsia="ja-JP"/>
        </w:rPr>
      </w:pPr>
      <w:bookmarkStart w:id="56" w:name="_Toc117064504"/>
      <w:bookmarkStart w:id="57" w:name="_Toc115704190"/>
      <w:bookmarkStart w:id="58" w:name="_Toc124917432"/>
      <w:r>
        <w:rPr>
          <w:lang w:eastAsia="ja-JP"/>
        </w:rPr>
        <w:t xml:space="preserve">What problems can </w:t>
      </w:r>
      <w:r w:rsidR="00D20EAF">
        <w:rPr>
          <w:lang w:eastAsia="ja-JP"/>
        </w:rPr>
        <w:t xml:space="preserve">and can’t </w:t>
      </w:r>
      <w:r>
        <w:rPr>
          <w:lang w:eastAsia="ja-JP"/>
        </w:rPr>
        <w:t>be solved</w:t>
      </w:r>
      <w:r w:rsidR="00CF7BBE">
        <w:rPr>
          <w:lang w:eastAsia="ja-JP"/>
        </w:rPr>
        <w:t xml:space="preserve"> by setting a scale</w:t>
      </w:r>
      <w:bookmarkEnd w:id="56"/>
      <w:bookmarkEnd w:id="57"/>
      <w:bookmarkEnd w:id="58"/>
    </w:p>
    <w:p w14:paraId="7ED0CDBF" w14:textId="180D54E2" w:rsidR="00AA7F17" w:rsidRDefault="004930D2" w:rsidP="004930D2">
      <w:pPr>
        <w:rPr>
          <w:lang w:eastAsia="ja-JP"/>
        </w:rPr>
      </w:pPr>
      <w:r>
        <w:rPr>
          <w:lang w:eastAsia="ja-JP"/>
        </w:rPr>
        <w:t>Setting a remuneration scale for the purposes of s. 175(2)(a) of the GAA cannot solve every problem with the current approach.</w:t>
      </w:r>
      <w:r w:rsidR="00170E85">
        <w:rPr>
          <w:lang w:eastAsia="ja-JP"/>
        </w:rPr>
        <w:t xml:space="preserve"> In some circumstances, a case</w:t>
      </w:r>
      <w:r w:rsidR="00FE3642">
        <w:rPr>
          <w:lang w:eastAsia="ja-JP"/>
        </w:rPr>
        <w:t>-</w:t>
      </w:r>
      <w:r w:rsidR="00170E85">
        <w:rPr>
          <w:lang w:eastAsia="ja-JP"/>
        </w:rPr>
        <w:t>by</w:t>
      </w:r>
      <w:r w:rsidR="00FE3642">
        <w:rPr>
          <w:lang w:eastAsia="ja-JP"/>
        </w:rPr>
        <w:t>-</w:t>
      </w:r>
      <w:r w:rsidR="00170E85">
        <w:rPr>
          <w:lang w:eastAsia="ja-JP"/>
        </w:rPr>
        <w:t xml:space="preserve">case approach </w:t>
      </w:r>
      <w:r w:rsidR="00AA7F17">
        <w:rPr>
          <w:lang w:eastAsia="ja-JP"/>
        </w:rPr>
        <w:t>may be appropriate.</w:t>
      </w:r>
    </w:p>
    <w:p w14:paraId="03CFCAE4" w14:textId="4D8F7816" w:rsidR="004930D2" w:rsidRDefault="00AA7F17" w:rsidP="004930D2">
      <w:pPr>
        <w:rPr>
          <w:lang w:eastAsia="ja-JP"/>
        </w:rPr>
      </w:pPr>
      <w:r>
        <w:rPr>
          <w:lang w:eastAsia="ja-JP"/>
        </w:rPr>
        <w:t>S</w:t>
      </w:r>
      <w:r w:rsidR="004930D2">
        <w:rPr>
          <w:lang w:eastAsia="ja-JP"/>
        </w:rPr>
        <w:t xml:space="preserve">etting a scale will remove the need for VCAT to have to set out detailed remuneration </w:t>
      </w:r>
      <w:r w:rsidR="00736CF1">
        <w:rPr>
          <w:lang w:eastAsia="ja-JP"/>
        </w:rPr>
        <w:t>determinations</w:t>
      </w:r>
      <w:r w:rsidR="004930D2">
        <w:rPr>
          <w:lang w:eastAsia="ja-JP"/>
        </w:rPr>
        <w:t xml:space="preserve"> in every </w:t>
      </w:r>
      <w:r w:rsidR="00736CF1">
        <w:rPr>
          <w:lang w:eastAsia="ja-JP"/>
        </w:rPr>
        <w:t>administrat</w:t>
      </w:r>
      <w:r w:rsidR="003C401A">
        <w:rPr>
          <w:lang w:eastAsia="ja-JP"/>
        </w:rPr>
        <w:t>ion</w:t>
      </w:r>
      <w:r w:rsidR="004930D2">
        <w:rPr>
          <w:lang w:eastAsia="ja-JP"/>
        </w:rPr>
        <w:t xml:space="preserve"> order, but as noted above, remuneration for State </w:t>
      </w:r>
      <w:r w:rsidR="00736CF1">
        <w:rPr>
          <w:lang w:eastAsia="ja-JP"/>
        </w:rPr>
        <w:t>Trustees</w:t>
      </w:r>
      <w:r w:rsidR="004930D2">
        <w:rPr>
          <w:lang w:eastAsia="ja-JP"/>
        </w:rPr>
        <w:t xml:space="preserve"> and lic</w:t>
      </w:r>
      <w:r w:rsidR="00736CF1">
        <w:rPr>
          <w:lang w:eastAsia="ja-JP"/>
        </w:rPr>
        <w:t>en</w:t>
      </w:r>
      <w:r w:rsidR="004930D2">
        <w:rPr>
          <w:lang w:eastAsia="ja-JP"/>
        </w:rPr>
        <w:t xml:space="preserve">sed trustee companies will </w:t>
      </w:r>
      <w:r w:rsidR="003F5473">
        <w:rPr>
          <w:lang w:eastAsia="ja-JP"/>
        </w:rPr>
        <w:t>have to continue to be included in orders separately, and even with a scale, there will still be a need for VCAT to make other orders regarding remuneration separately from the scale (including because of the scale itself</w:t>
      </w:r>
      <w:r w:rsidR="00DE0BDE">
        <w:rPr>
          <w:lang w:eastAsia="ja-JP"/>
        </w:rPr>
        <w:t>:</w:t>
      </w:r>
      <w:r w:rsidR="003F5473">
        <w:rPr>
          <w:lang w:eastAsia="ja-JP"/>
        </w:rPr>
        <w:t xml:space="preserve"> see below). It should therefore not be </w:t>
      </w:r>
      <w:r>
        <w:rPr>
          <w:lang w:eastAsia="ja-JP"/>
        </w:rPr>
        <w:t>assumed</w:t>
      </w:r>
      <w:r w:rsidR="003F5473">
        <w:rPr>
          <w:lang w:eastAsia="ja-JP"/>
        </w:rPr>
        <w:t xml:space="preserve"> that setting a </w:t>
      </w:r>
      <w:r w:rsidR="00736CF1">
        <w:rPr>
          <w:lang w:eastAsia="ja-JP"/>
        </w:rPr>
        <w:t>remuneration</w:t>
      </w:r>
      <w:r w:rsidR="003F5473">
        <w:rPr>
          <w:lang w:eastAsia="ja-JP"/>
        </w:rPr>
        <w:t xml:space="preserve"> scale will lead to </w:t>
      </w:r>
      <w:r w:rsidR="00736CF1">
        <w:rPr>
          <w:lang w:eastAsia="ja-JP"/>
        </w:rPr>
        <w:t>significant</w:t>
      </w:r>
      <w:r w:rsidR="003F5473">
        <w:rPr>
          <w:lang w:eastAsia="ja-JP"/>
        </w:rPr>
        <w:t xml:space="preserve"> efficiency </w:t>
      </w:r>
      <w:r w:rsidR="00736CF1">
        <w:rPr>
          <w:lang w:eastAsia="ja-JP"/>
        </w:rPr>
        <w:t>improvement</w:t>
      </w:r>
      <w:r>
        <w:rPr>
          <w:lang w:eastAsia="ja-JP"/>
        </w:rPr>
        <w:t>s</w:t>
      </w:r>
      <w:r w:rsidR="003F5473">
        <w:rPr>
          <w:lang w:eastAsia="ja-JP"/>
        </w:rPr>
        <w:t xml:space="preserve"> in how remuneration arrangements are put in place for each </w:t>
      </w:r>
      <w:r w:rsidR="00736CF1">
        <w:rPr>
          <w:lang w:eastAsia="ja-JP"/>
        </w:rPr>
        <w:t>administration</w:t>
      </w:r>
      <w:r w:rsidR="003F5473">
        <w:rPr>
          <w:lang w:eastAsia="ja-JP"/>
        </w:rPr>
        <w:t xml:space="preserve"> order.</w:t>
      </w:r>
    </w:p>
    <w:p w14:paraId="2E66FEE0" w14:textId="53BABCAF" w:rsidR="003F5473" w:rsidRDefault="00AA7F17" w:rsidP="004930D2">
      <w:pPr>
        <w:rPr>
          <w:lang w:eastAsia="ja-JP"/>
        </w:rPr>
      </w:pPr>
      <w:r>
        <w:rPr>
          <w:lang w:eastAsia="ja-JP"/>
        </w:rPr>
        <w:t>However, s</w:t>
      </w:r>
      <w:r w:rsidR="003F5473">
        <w:rPr>
          <w:lang w:eastAsia="ja-JP"/>
        </w:rPr>
        <w:t xml:space="preserve">etting a scale does provide an opportunity to improve consistency, fairness and transparency in how </w:t>
      </w:r>
      <w:r w:rsidR="00736CF1">
        <w:rPr>
          <w:lang w:eastAsia="ja-JP"/>
        </w:rPr>
        <w:t>remuneration</w:t>
      </w:r>
      <w:r w:rsidR="003F5473">
        <w:rPr>
          <w:lang w:eastAsia="ja-JP"/>
        </w:rPr>
        <w:t xml:space="preserve"> is determined (</w:t>
      </w:r>
      <w:r w:rsidR="00A71882">
        <w:rPr>
          <w:lang w:eastAsia="ja-JP"/>
        </w:rPr>
        <w:t>in those matters</w:t>
      </w:r>
      <w:r w:rsidR="003F5473">
        <w:rPr>
          <w:lang w:eastAsia="ja-JP"/>
        </w:rPr>
        <w:t xml:space="preserve"> to which the proposed scale will apply).</w:t>
      </w:r>
    </w:p>
    <w:p w14:paraId="1B5E6359" w14:textId="6B2EE958" w:rsidR="003F5473" w:rsidRDefault="003F5473" w:rsidP="004930D2">
      <w:pPr>
        <w:rPr>
          <w:lang w:eastAsia="ja-JP"/>
        </w:rPr>
      </w:pPr>
      <w:r>
        <w:rPr>
          <w:lang w:eastAsia="ja-JP"/>
        </w:rPr>
        <w:lastRenderedPageBreak/>
        <w:t xml:space="preserve">But a </w:t>
      </w:r>
      <w:r w:rsidR="00736CF1">
        <w:rPr>
          <w:lang w:eastAsia="ja-JP"/>
        </w:rPr>
        <w:t>remuneration</w:t>
      </w:r>
      <w:r>
        <w:rPr>
          <w:lang w:eastAsia="ja-JP"/>
        </w:rPr>
        <w:t xml:space="preserve"> scale does not of itself guarantee these outcomes. For example, whichever approach to remuneration (e.g., hourly rates, price per task or commissions), there will always be </w:t>
      </w:r>
      <w:r w:rsidR="00F01BCB">
        <w:rPr>
          <w:lang w:eastAsia="ja-JP"/>
        </w:rPr>
        <w:t xml:space="preserve">incentives for </w:t>
      </w:r>
      <w:r w:rsidR="00736CF1">
        <w:rPr>
          <w:lang w:eastAsia="ja-JP"/>
        </w:rPr>
        <w:t>administrators</w:t>
      </w:r>
      <w:r w:rsidR="00F01BCB">
        <w:rPr>
          <w:lang w:eastAsia="ja-JP"/>
        </w:rPr>
        <w:t xml:space="preserve"> to maximise their payment while minimising costs. This is not necessarily a bad thing </w:t>
      </w:r>
      <w:r w:rsidR="00AA7F17">
        <w:rPr>
          <w:lang w:eastAsia="ja-JP"/>
        </w:rPr>
        <w:t>in</w:t>
      </w:r>
      <w:r w:rsidR="00F01BCB">
        <w:rPr>
          <w:lang w:eastAsia="ja-JP"/>
        </w:rPr>
        <w:t xml:space="preserve"> itself (it is </w:t>
      </w:r>
      <w:r w:rsidR="00736CF1">
        <w:rPr>
          <w:lang w:eastAsia="ja-JP"/>
        </w:rPr>
        <w:t>desirable</w:t>
      </w:r>
      <w:r w:rsidR="00F01BCB">
        <w:rPr>
          <w:lang w:eastAsia="ja-JP"/>
        </w:rPr>
        <w:t xml:space="preserve"> for </w:t>
      </w:r>
      <w:r w:rsidR="00736CF1">
        <w:rPr>
          <w:lang w:eastAsia="ja-JP"/>
        </w:rPr>
        <w:t>administrators</w:t>
      </w:r>
      <w:r w:rsidR="00F01BCB">
        <w:rPr>
          <w:lang w:eastAsia="ja-JP"/>
        </w:rPr>
        <w:t xml:space="preserve"> to earn a profit so that they remain available to offer adm</w:t>
      </w:r>
      <w:r w:rsidR="00736CF1">
        <w:rPr>
          <w:lang w:eastAsia="ja-JP"/>
        </w:rPr>
        <w:t>inistration</w:t>
      </w:r>
      <w:r w:rsidR="00F01BCB">
        <w:rPr>
          <w:lang w:eastAsia="ja-JP"/>
        </w:rPr>
        <w:t xml:space="preserve"> services). The balance ultim</w:t>
      </w:r>
      <w:r w:rsidR="00736CF1">
        <w:rPr>
          <w:lang w:eastAsia="ja-JP"/>
        </w:rPr>
        <w:t>at</w:t>
      </w:r>
      <w:r w:rsidR="00F01BCB">
        <w:rPr>
          <w:lang w:eastAsia="ja-JP"/>
        </w:rPr>
        <w:t xml:space="preserve">ely comes down to a robust </w:t>
      </w:r>
      <w:r w:rsidR="00736CF1">
        <w:rPr>
          <w:lang w:eastAsia="ja-JP"/>
        </w:rPr>
        <w:t>remuneration</w:t>
      </w:r>
      <w:r w:rsidR="00F01BCB">
        <w:rPr>
          <w:lang w:eastAsia="ja-JP"/>
        </w:rPr>
        <w:t xml:space="preserve"> structure that is well understood, and in a market where fiduciary duties remain at the forefront.</w:t>
      </w:r>
    </w:p>
    <w:p w14:paraId="57295280" w14:textId="77777777" w:rsidR="00385BC5" w:rsidRDefault="00385BC5" w:rsidP="003A673A">
      <w:pPr>
        <w:pStyle w:val="Heading3"/>
        <w:rPr>
          <w:lang w:eastAsia="ja-JP"/>
        </w:rPr>
      </w:pPr>
      <w:bookmarkStart w:id="59" w:name="_Toc124831376"/>
      <w:bookmarkStart w:id="60" w:name="_Toc124917433"/>
      <w:r>
        <w:rPr>
          <w:lang w:eastAsia="ja-JP"/>
        </w:rPr>
        <w:t>Trustee organisations not within scope of recommended scale</w:t>
      </w:r>
      <w:bookmarkEnd w:id="59"/>
      <w:bookmarkEnd w:id="60"/>
    </w:p>
    <w:p w14:paraId="674EE48B" w14:textId="77777777" w:rsidR="00385BC5" w:rsidRDefault="00385BC5" w:rsidP="00385BC5">
      <w:pPr>
        <w:rPr>
          <w:lang w:eastAsia="ja-JP"/>
        </w:rPr>
      </w:pPr>
      <w:r>
        <w:rPr>
          <w:lang w:eastAsia="ja-JP"/>
        </w:rPr>
        <w:t>It is not proposed to set a remuneration scale that would apply to State Trustees or private licensed trustee companies. This is because:</w:t>
      </w:r>
    </w:p>
    <w:p w14:paraId="58A2A5DA" w14:textId="77777777" w:rsidR="00385BC5" w:rsidRDefault="00385BC5" w:rsidP="00385BC5">
      <w:pPr>
        <w:pStyle w:val="ListParagraph"/>
        <w:numPr>
          <w:ilvl w:val="0"/>
          <w:numId w:val="13"/>
        </w:numPr>
        <w:rPr>
          <w:lang w:eastAsia="ja-JP"/>
        </w:rPr>
      </w:pPr>
      <w:r>
        <w:rPr>
          <w:lang w:eastAsia="ja-JP"/>
        </w:rPr>
        <w:t>The setting of fees by State Trustees is the result of detailed analysis of its statutory functions, policy objectives and funding decisions. VCAT does not intend to disturb that position. There is also the ability, which has been used, for VCAT to set a different remuneration amount for the State Trustee in situations of limited or urgent orders.</w:t>
      </w:r>
    </w:p>
    <w:p w14:paraId="72C1719C" w14:textId="77777777" w:rsidR="00385BC5" w:rsidRDefault="00385BC5" w:rsidP="00385BC5">
      <w:pPr>
        <w:pStyle w:val="ListParagraph"/>
        <w:numPr>
          <w:ilvl w:val="0"/>
          <w:numId w:val="13"/>
        </w:numPr>
        <w:rPr>
          <w:lang w:eastAsia="ja-JP"/>
        </w:rPr>
      </w:pPr>
      <w:r>
        <w:rPr>
          <w:lang w:eastAsia="ja-JP"/>
        </w:rPr>
        <w:t>Section 175(3) of the GAA states that remuneration determined by VCAT in relation to a licensed trustee company must not exceed the limit on fees that may be charged by a licensed trustee company under Chapter 5D of the Corporations Act. This provision is a carry-over from the GAA’s predecessor, introduced in 2010, when trustee company fees were more directly regulated under the Corporations Act. The current approach under that Act does not directly limit fees, but requires a trustee company to not charge fees higher than a schedule of fees that it has published on its website. Further, as each trustee company applies its own fees, for the proposed scale to be applied to trustee companies, the scale would need to separately set out the fees for each company, and be continuously updated if any trustee company changed its fee structure or amounts.</w:t>
      </w:r>
    </w:p>
    <w:p w14:paraId="02307093" w14:textId="77777777" w:rsidR="00385BC5" w:rsidRDefault="00385BC5" w:rsidP="00385BC5">
      <w:pPr>
        <w:rPr>
          <w:lang w:eastAsia="ja-JP"/>
        </w:rPr>
      </w:pPr>
      <w:r>
        <w:rPr>
          <w:lang w:eastAsia="ja-JP"/>
        </w:rPr>
        <w:t>For these reasons it is not proposed to apply a scale of remuneration for State Trustees or licensed trustee companies, as the fees charged by these types of administrators are controlled by other mechanisms.</w:t>
      </w:r>
    </w:p>
    <w:p w14:paraId="2F49D379" w14:textId="3D41C527" w:rsidR="008F5F8A" w:rsidRDefault="008F5F8A" w:rsidP="00F02203">
      <w:pPr>
        <w:pStyle w:val="Heading2"/>
        <w:rPr>
          <w:lang w:eastAsia="ja-JP"/>
        </w:rPr>
      </w:pPr>
      <w:bookmarkStart w:id="61" w:name="_Toc117064505"/>
      <w:bookmarkStart w:id="62" w:name="_Toc115704191"/>
      <w:bookmarkStart w:id="63" w:name="_Toc124917434"/>
      <w:r>
        <w:rPr>
          <w:lang w:eastAsia="ja-JP"/>
        </w:rPr>
        <w:t>Fairness to the R</w:t>
      </w:r>
      <w:r w:rsidR="00170E85">
        <w:rPr>
          <w:lang w:eastAsia="ja-JP"/>
        </w:rPr>
        <w:t xml:space="preserve">epresented </w:t>
      </w:r>
      <w:r>
        <w:rPr>
          <w:lang w:eastAsia="ja-JP"/>
        </w:rPr>
        <w:t>P</w:t>
      </w:r>
      <w:r w:rsidR="00170E85">
        <w:rPr>
          <w:lang w:eastAsia="ja-JP"/>
        </w:rPr>
        <w:t>erson</w:t>
      </w:r>
      <w:bookmarkEnd w:id="61"/>
      <w:bookmarkEnd w:id="62"/>
      <w:bookmarkEnd w:id="63"/>
    </w:p>
    <w:p w14:paraId="1976EDDD" w14:textId="43A48B0A" w:rsidR="00D20EAF" w:rsidRDefault="00D20EAF" w:rsidP="00D20EAF">
      <w:pPr>
        <w:rPr>
          <w:lang w:eastAsia="ja-JP"/>
        </w:rPr>
      </w:pPr>
      <w:r>
        <w:rPr>
          <w:lang w:eastAsia="ja-JP"/>
        </w:rPr>
        <w:t xml:space="preserve">At its core, decisions made under the GAA should be </w:t>
      </w:r>
      <w:r w:rsidR="003D22E6">
        <w:rPr>
          <w:lang w:eastAsia="ja-JP"/>
        </w:rPr>
        <w:t xml:space="preserve">to promote the personal and social wellbeing of the represented person and </w:t>
      </w:r>
      <w:r w:rsidR="00D8418E">
        <w:rPr>
          <w:lang w:eastAsia="ja-JP"/>
        </w:rPr>
        <w:t>consider</w:t>
      </w:r>
      <w:r w:rsidR="003D22E6">
        <w:rPr>
          <w:lang w:eastAsia="ja-JP"/>
        </w:rPr>
        <w:t xml:space="preserve"> their will and preferences as far as practicable</w:t>
      </w:r>
      <w:r>
        <w:rPr>
          <w:lang w:eastAsia="ja-JP"/>
        </w:rPr>
        <w:t xml:space="preserve">. </w:t>
      </w:r>
      <w:r w:rsidR="00925DBA">
        <w:rPr>
          <w:lang w:eastAsia="ja-JP"/>
        </w:rPr>
        <w:t xml:space="preserve">The amount that is paid to the administrator is one factor in the </w:t>
      </w:r>
      <w:r w:rsidR="00D8418E">
        <w:rPr>
          <w:lang w:eastAsia="ja-JP"/>
        </w:rPr>
        <w:t>represented person</w:t>
      </w:r>
      <w:r w:rsidR="00925DBA">
        <w:rPr>
          <w:lang w:eastAsia="ja-JP"/>
        </w:rPr>
        <w:t>’s interests, but not the only factor.</w:t>
      </w:r>
      <w:r w:rsidR="00AB3BA3">
        <w:rPr>
          <w:lang w:eastAsia="ja-JP"/>
        </w:rPr>
        <w:t xml:space="preserve"> </w:t>
      </w:r>
      <w:r w:rsidR="00D8418E">
        <w:rPr>
          <w:lang w:eastAsia="ja-JP"/>
        </w:rPr>
        <w:t>The services they receive</w:t>
      </w:r>
      <w:r w:rsidR="00AB3BA3">
        <w:rPr>
          <w:lang w:eastAsia="ja-JP"/>
        </w:rPr>
        <w:t xml:space="preserve"> for the payment is also relevant.</w:t>
      </w:r>
    </w:p>
    <w:p w14:paraId="55B445E4" w14:textId="29DF75E1" w:rsidR="00925DBA" w:rsidRDefault="00925DBA" w:rsidP="00925DBA">
      <w:pPr>
        <w:rPr>
          <w:lang w:eastAsia="ja-JP"/>
        </w:rPr>
      </w:pPr>
      <w:r>
        <w:rPr>
          <w:lang w:eastAsia="ja-JP"/>
        </w:rPr>
        <w:t>In Queensland, the remuneration paid to an administrator may not be more than the amount the tribunal considers fair and reasonable, having regard t</w:t>
      </w:r>
      <w:r w:rsidR="00AB3BA3">
        <w:rPr>
          <w:lang w:eastAsia="ja-JP"/>
        </w:rPr>
        <w:t>o:</w:t>
      </w:r>
    </w:p>
    <w:p w14:paraId="7FEA3163" w14:textId="0AE52A78" w:rsidR="00925DBA" w:rsidRDefault="00925DBA" w:rsidP="00925DBA">
      <w:pPr>
        <w:pStyle w:val="ListParagraph"/>
        <w:numPr>
          <w:ilvl w:val="0"/>
          <w:numId w:val="13"/>
        </w:numPr>
        <w:rPr>
          <w:lang w:eastAsia="ja-JP"/>
        </w:rPr>
      </w:pPr>
      <w:r>
        <w:rPr>
          <w:lang w:eastAsia="ja-JP"/>
        </w:rPr>
        <w:t>the nature and complexity of the service; and</w:t>
      </w:r>
    </w:p>
    <w:p w14:paraId="79F8DAAD" w14:textId="5A5B3068" w:rsidR="00925DBA" w:rsidRDefault="00925DBA" w:rsidP="00925DBA">
      <w:pPr>
        <w:pStyle w:val="ListParagraph"/>
        <w:numPr>
          <w:ilvl w:val="0"/>
          <w:numId w:val="13"/>
        </w:numPr>
        <w:rPr>
          <w:lang w:eastAsia="ja-JP"/>
        </w:rPr>
      </w:pPr>
      <w:r>
        <w:rPr>
          <w:lang w:eastAsia="ja-JP"/>
        </w:rPr>
        <w:t>the care, skill and specialised knowledge required to provide the service; and</w:t>
      </w:r>
    </w:p>
    <w:p w14:paraId="5AEA2AF6" w14:textId="7E61E97B" w:rsidR="00925DBA" w:rsidRDefault="00925DBA" w:rsidP="00925DBA">
      <w:pPr>
        <w:pStyle w:val="ListParagraph"/>
        <w:numPr>
          <w:ilvl w:val="0"/>
          <w:numId w:val="13"/>
        </w:numPr>
        <w:rPr>
          <w:lang w:eastAsia="ja-JP"/>
        </w:rPr>
      </w:pPr>
      <w:r>
        <w:rPr>
          <w:lang w:eastAsia="ja-JP"/>
        </w:rPr>
        <w:t>the responsibility displayed in providing the service; and</w:t>
      </w:r>
    </w:p>
    <w:p w14:paraId="34A1E8C7" w14:textId="3A209B66" w:rsidR="00925DBA" w:rsidRDefault="00925DBA" w:rsidP="00925DBA">
      <w:pPr>
        <w:pStyle w:val="ListParagraph"/>
        <w:numPr>
          <w:ilvl w:val="0"/>
          <w:numId w:val="13"/>
        </w:numPr>
        <w:rPr>
          <w:lang w:eastAsia="ja-JP"/>
        </w:rPr>
      </w:pPr>
      <w:r>
        <w:rPr>
          <w:lang w:eastAsia="ja-JP"/>
        </w:rPr>
        <w:t>the time within which the service was provided; and</w:t>
      </w:r>
    </w:p>
    <w:p w14:paraId="288C38ED" w14:textId="3E973082" w:rsidR="00925DBA" w:rsidRDefault="00925DBA" w:rsidP="00925DBA">
      <w:pPr>
        <w:pStyle w:val="ListParagraph"/>
        <w:numPr>
          <w:ilvl w:val="0"/>
          <w:numId w:val="13"/>
        </w:numPr>
        <w:rPr>
          <w:lang w:eastAsia="ja-JP"/>
        </w:rPr>
      </w:pPr>
      <w:r>
        <w:rPr>
          <w:lang w:eastAsia="ja-JP"/>
        </w:rPr>
        <w:t>the place where, and the circumstances in which, the service was provided</w:t>
      </w:r>
      <w:r w:rsidR="00AB3BA3">
        <w:rPr>
          <w:lang w:eastAsia="ja-JP"/>
        </w:rPr>
        <w:t>.</w:t>
      </w:r>
      <w:r w:rsidR="00524D85">
        <w:rPr>
          <w:rStyle w:val="FootnoteReference"/>
          <w:lang w:eastAsia="ja-JP"/>
        </w:rPr>
        <w:footnoteReference w:id="12"/>
      </w:r>
    </w:p>
    <w:p w14:paraId="6C094EBA" w14:textId="42A1E6FA" w:rsidR="00AB3BA3" w:rsidRDefault="00AB3BA3" w:rsidP="00AB3BA3">
      <w:pPr>
        <w:rPr>
          <w:lang w:eastAsia="ja-JP"/>
        </w:rPr>
      </w:pPr>
      <w:r>
        <w:rPr>
          <w:lang w:eastAsia="ja-JP"/>
        </w:rPr>
        <w:lastRenderedPageBreak/>
        <w:t>These are reasonable criteria</w:t>
      </w:r>
      <w:r w:rsidR="00CC284B">
        <w:rPr>
          <w:lang w:eastAsia="ja-JP"/>
        </w:rPr>
        <w:t>.</w:t>
      </w:r>
      <w:r w:rsidR="00AB349C">
        <w:rPr>
          <w:lang w:eastAsia="ja-JP"/>
        </w:rPr>
        <w:t xml:space="preserve"> </w:t>
      </w:r>
      <w:r w:rsidR="00355922">
        <w:rPr>
          <w:lang w:eastAsia="ja-JP"/>
        </w:rPr>
        <w:t>In addition,</w:t>
      </w:r>
      <w:r w:rsidR="00AB349C">
        <w:rPr>
          <w:lang w:eastAsia="ja-JP"/>
        </w:rPr>
        <w:t xml:space="preserve"> </w:t>
      </w:r>
      <w:r w:rsidR="00355922">
        <w:rPr>
          <w:lang w:eastAsia="ja-JP"/>
        </w:rPr>
        <w:t xml:space="preserve">other </w:t>
      </w:r>
      <w:r w:rsidR="00AB349C">
        <w:rPr>
          <w:lang w:eastAsia="ja-JP"/>
        </w:rPr>
        <w:t xml:space="preserve">relevant </w:t>
      </w:r>
      <w:r w:rsidR="00355922">
        <w:rPr>
          <w:lang w:eastAsia="ja-JP"/>
        </w:rPr>
        <w:t>criteria</w:t>
      </w:r>
      <w:r w:rsidR="00CC284B">
        <w:rPr>
          <w:lang w:eastAsia="ja-JP"/>
        </w:rPr>
        <w:t xml:space="preserve"> scale would be</w:t>
      </w:r>
      <w:r>
        <w:rPr>
          <w:lang w:eastAsia="ja-JP"/>
        </w:rPr>
        <w:t>:</w:t>
      </w:r>
    </w:p>
    <w:p w14:paraId="70F29DC8" w14:textId="6BBF0E21" w:rsidR="00AB3BA3" w:rsidRDefault="00577011" w:rsidP="00AB3BA3">
      <w:pPr>
        <w:pStyle w:val="ListParagraph"/>
        <w:numPr>
          <w:ilvl w:val="0"/>
          <w:numId w:val="13"/>
        </w:numPr>
        <w:rPr>
          <w:lang w:eastAsia="ja-JP"/>
        </w:rPr>
      </w:pPr>
      <w:r>
        <w:rPr>
          <w:lang w:eastAsia="ja-JP"/>
        </w:rPr>
        <w:t>w</w:t>
      </w:r>
      <w:r w:rsidR="00AB3BA3">
        <w:rPr>
          <w:lang w:eastAsia="ja-JP"/>
        </w:rPr>
        <w:t>hether performing a particular service (task) was necessary or justified to promote the interests of the represented person</w:t>
      </w:r>
      <w:r w:rsidR="00962E8B">
        <w:rPr>
          <w:lang w:eastAsia="ja-JP"/>
        </w:rPr>
        <w:t>, and</w:t>
      </w:r>
    </w:p>
    <w:p w14:paraId="7B4A629E" w14:textId="548E1F49" w:rsidR="00AB3BA3" w:rsidRPr="00D20EAF" w:rsidRDefault="00577011" w:rsidP="00AB3BA3">
      <w:pPr>
        <w:pStyle w:val="ListParagraph"/>
        <w:numPr>
          <w:ilvl w:val="0"/>
          <w:numId w:val="13"/>
        </w:numPr>
        <w:rPr>
          <w:lang w:eastAsia="ja-JP"/>
        </w:rPr>
      </w:pPr>
      <w:r>
        <w:rPr>
          <w:lang w:eastAsia="ja-JP"/>
        </w:rPr>
        <w:t>t</w:t>
      </w:r>
      <w:r w:rsidR="00AB3BA3">
        <w:rPr>
          <w:lang w:eastAsia="ja-JP"/>
        </w:rPr>
        <w:t>he ability for the represented person to pay for the costs of such services.</w:t>
      </w:r>
    </w:p>
    <w:p w14:paraId="3EDA8585" w14:textId="361B083C" w:rsidR="008F5F8A" w:rsidRDefault="008F5F8A" w:rsidP="00D20EAF">
      <w:pPr>
        <w:pStyle w:val="Heading2"/>
        <w:rPr>
          <w:lang w:eastAsia="ja-JP"/>
        </w:rPr>
      </w:pPr>
      <w:bookmarkStart w:id="64" w:name="_Toc117064506"/>
      <w:bookmarkStart w:id="65" w:name="_Toc115704192"/>
      <w:bookmarkStart w:id="66" w:name="_Toc124917435"/>
      <w:r>
        <w:rPr>
          <w:lang w:eastAsia="ja-JP"/>
        </w:rPr>
        <w:t>Fair remuneration to the adm</w:t>
      </w:r>
      <w:r w:rsidR="00AB3BA3">
        <w:rPr>
          <w:lang w:eastAsia="ja-JP"/>
        </w:rPr>
        <w:t>inistrator</w:t>
      </w:r>
      <w:bookmarkEnd w:id="64"/>
      <w:bookmarkEnd w:id="65"/>
      <w:bookmarkEnd w:id="66"/>
    </w:p>
    <w:p w14:paraId="7E082EB2" w14:textId="26B4FBBA" w:rsidR="00E934AA" w:rsidRDefault="00E934AA" w:rsidP="00E934AA">
      <w:pPr>
        <w:rPr>
          <w:lang w:eastAsia="ja-JP"/>
        </w:rPr>
      </w:pPr>
      <w:r>
        <w:rPr>
          <w:lang w:eastAsia="ja-JP"/>
        </w:rPr>
        <w:t xml:space="preserve">The ability to appoint professional services firms as </w:t>
      </w:r>
      <w:r w:rsidR="00AB3BA3">
        <w:rPr>
          <w:lang w:eastAsia="ja-JP"/>
        </w:rPr>
        <w:t>administrators</w:t>
      </w:r>
      <w:r>
        <w:rPr>
          <w:lang w:eastAsia="ja-JP"/>
        </w:rPr>
        <w:t xml:space="preserve"> is of benefit</w:t>
      </w:r>
      <w:r w:rsidR="00E50E7F">
        <w:rPr>
          <w:lang w:eastAsia="ja-JP"/>
        </w:rPr>
        <w:t xml:space="preserve"> to represented persons</w:t>
      </w:r>
      <w:r>
        <w:rPr>
          <w:lang w:eastAsia="ja-JP"/>
        </w:rPr>
        <w:t xml:space="preserve">. These </w:t>
      </w:r>
      <w:r w:rsidR="003B1D40">
        <w:rPr>
          <w:lang w:eastAsia="ja-JP"/>
        </w:rPr>
        <w:t xml:space="preserve">firms </w:t>
      </w:r>
      <w:r>
        <w:rPr>
          <w:lang w:eastAsia="ja-JP"/>
        </w:rPr>
        <w:t>provide expanded choices for represented persons and their families, capacity in the community to bet</w:t>
      </w:r>
      <w:r w:rsidR="00AB3BA3">
        <w:rPr>
          <w:lang w:eastAsia="ja-JP"/>
        </w:rPr>
        <w:t>t</w:t>
      </w:r>
      <w:r>
        <w:rPr>
          <w:lang w:eastAsia="ja-JP"/>
        </w:rPr>
        <w:t>er ensure the demand for adm</w:t>
      </w:r>
      <w:r w:rsidR="00AB3BA3">
        <w:rPr>
          <w:lang w:eastAsia="ja-JP"/>
        </w:rPr>
        <w:t>inistration</w:t>
      </w:r>
      <w:r>
        <w:rPr>
          <w:lang w:eastAsia="ja-JP"/>
        </w:rPr>
        <w:t xml:space="preserve"> skills are met, and (from an economic point of view) contestability of services to (theoretically) be a discipline on quality and price.</w:t>
      </w:r>
    </w:p>
    <w:p w14:paraId="5433458B" w14:textId="123D8956" w:rsidR="00E934AA" w:rsidRDefault="00E934AA" w:rsidP="00E934AA">
      <w:pPr>
        <w:rPr>
          <w:lang w:eastAsia="ja-JP"/>
        </w:rPr>
      </w:pPr>
      <w:r>
        <w:rPr>
          <w:lang w:eastAsia="ja-JP"/>
        </w:rPr>
        <w:t xml:space="preserve">As a fiduciary, an </w:t>
      </w:r>
      <w:r w:rsidR="00AB3BA3">
        <w:rPr>
          <w:lang w:eastAsia="ja-JP"/>
        </w:rPr>
        <w:t>administrator</w:t>
      </w:r>
      <w:r>
        <w:rPr>
          <w:lang w:eastAsia="ja-JP"/>
        </w:rPr>
        <w:t xml:space="preserve"> should not profit from their client or because of their position. More ac</w:t>
      </w:r>
      <w:r w:rsidR="00AB3BA3">
        <w:rPr>
          <w:lang w:eastAsia="ja-JP"/>
        </w:rPr>
        <w:t>curately</w:t>
      </w:r>
      <w:r>
        <w:rPr>
          <w:lang w:eastAsia="ja-JP"/>
        </w:rPr>
        <w:t>, a fiduciary is only permitted to profit with the informed consent of the beneficiary and with full and frank disclosure of all relevant information.</w:t>
      </w:r>
    </w:p>
    <w:p w14:paraId="60D53C7E" w14:textId="1E03C763" w:rsidR="00E46802" w:rsidRDefault="00A63788" w:rsidP="00E46802">
      <w:pPr>
        <w:rPr>
          <w:lang w:eastAsia="ja-JP"/>
        </w:rPr>
      </w:pPr>
      <w:r>
        <w:rPr>
          <w:lang w:eastAsia="ja-JP"/>
        </w:rPr>
        <w:t>Therefore, t</w:t>
      </w:r>
      <w:r w:rsidR="00E46802">
        <w:rPr>
          <w:lang w:eastAsia="ja-JP"/>
        </w:rPr>
        <w:t xml:space="preserve">he key issue is </w:t>
      </w:r>
      <w:r w:rsidR="00BB6C3D">
        <w:rPr>
          <w:lang w:eastAsia="ja-JP"/>
        </w:rPr>
        <w:t>whether</w:t>
      </w:r>
      <w:r w:rsidR="00E46802">
        <w:rPr>
          <w:lang w:eastAsia="ja-JP"/>
        </w:rPr>
        <w:t xml:space="preserve"> the remuneration </w:t>
      </w:r>
      <w:r w:rsidR="000B71A7">
        <w:rPr>
          <w:lang w:eastAsia="ja-JP"/>
        </w:rPr>
        <w:t>methodology for</w:t>
      </w:r>
      <w:r w:rsidR="00E46802">
        <w:rPr>
          <w:lang w:eastAsia="ja-JP"/>
        </w:rPr>
        <w:t xml:space="preserve"> professional adm</w:t>
      </w:r>
      <w:r w:rsidR="00AB3BA3">
        <w:rPr>
          <w:lang w:eastAsia="ja-JP"/>
        </w:rPr>
        <w:t>inistrator</w:t>
      </w:r>
      <w:r w:rsidR="00A71882">
        <w:rPr>
          <w:lang w:eastAsia="ja-JP"/>
        </w:rPr>
        <w:t>s</w:t>
      </w:r>
      <w:r w:rsidR="00E46802">
        <w:rPr>
          <w:lang w:eastAsia="ja-JP"/>
        </w:rPr>
        <w:t xml:space="preserve"> </w:t>
      </w:r>
      <w:r w:rsidR="00CF7D77">
        <w:rPr>
          <w:lang w:eastAsia="ja-JP"/>
        </w:rPr>
        <w:t>is able to be easily</w:t>
      </w:r>
      <w:r w:rsidR="00E46802">
        <w:rPr>
          <w:lang w:eastAsia="ja-JP"/>
        </w:rPr>
        <w:t xml:space="preserve"> applied and understood by all parties. Some stakeholders consider the current </w:t>
      </w:r>
      <w:r w:rsidR="00AB3BA3">
        <w:rPr>
          <w:lang w:eastAsia="ja-JP"/>
        </w:rPr>
        <w:t>arrangements</w:t>
      </w:r>
      <w:r w:rsidR="00E46802">
        <w:rPr>
          <w:lang w:eastAsia="ja-JP"/>
        </w:rPr>
        <w:t xml:space="preserve"> fall short of this, as the complexity of the arrangements make it </w:t>
      </w:r>
      <w:r w:rsidR="00CF7D77">
        <w:rPr>
          <w:lang w:eastAsia="ja-JP"/>
        </w:rPr>
        <w:t>difficult</w:t>
      </w:r>
      <w:r w:rsidR="00E46802">
        <w:rPr>
          <w:lang w:eastAsia="ja-JP"/>
        </w:rPr>
        <w:t xml:space="preserve"> for a represented person to know how much they will pay the adm</w:t>
      </w:r>
      <w:r w:rsidR="00AB3BA3">
        <w:rPr>
          <w:lang w:eastAsia="ja-JP"/>
        </w:rPr>
        <w:t>inistrat</w:t>
      </w:r>
      <w:r w:rsidR="003D28F0">
        <w:rPr>
          <w:lang w:eastAsia="ja-JP"/>
        </w:rPr>
        <w:t>or</w:t>
      </w:r>
      <w:r w:rsidR="00E46802">
        <w:rPr>
          <w:lang w:eastAsia="ja-JP"/>
        </w:rPr>
        <w:t xml:space="preserve">. A clear and consistent scale of </w:t>
      </w:r>
      <w:r w:rsidR="00AB3BA3">
        <w:rPr>
          <w:lang w:eastAsia="ja-JP"/>
        </w:rPr>
        <w:t>remuneration</w:t>
      </w:r>
      <w:r w:rsidR="00E46802">
        <w:rPr>
          <w:lang w:eastAsia="ja-JP"/>
        </w:rPr>
        <w:t xml:space="preserve"> </w:t>
      </w:r>
      <w:r w:rsidR="00B04554">
        <w:rPr>
          <w:lang w:eastAsia="ja-JP"/>
        </w:rPr>
        <w:t xml:space="preserve">will help </w:t>
      </w:r>
      <w:r w:rsidR="00E46802">
        <w:rPr>
          <w:lang w:eastAsia="ja-JP"/>
        </w:rPr>
        <w:t>ameliorate this risk.</w:t>
      </w:r>
    </w:p>
    <w:p w14:paraId="3BFC2C10" w14:textId="21CE6293" w:rsidR="00E934AA" w:rsidRDefault="00E934AA" w:rsidP="00E934AA">
      <w:pPr>
        <w:rPr>
          <w:lang w:eastAsia="ja-JP"/>
        </w:rPr>
      </w:pPr>
      <w:r>
        <w:rPr>
          <w:lang w:eastAsia="ja-JP"/>
        </w:rPr>
        <w:t xml:space="preserve">It is </w:t>
      </w:r>
      <w:r w:rsidR="00AB3BA3">
        <w:rPr>
          <w:lang w:eastAsia="ja-JP"/>
        </w:rPr>
        <w:t>desirable</w:t>
      </w:r>
      <w:r>
        <w:rPr>
          <w:lang w:eastAsia="ja-JP"/>
        </w:rPr>
        <w:t xml:space="preserve"> for</w:t>
      </w:r>
      <w:r w:rsidR="00B04554">
        <w:rPr>
          <w:lang w:eastAsia="ja-JP"/>
        </w:rPr>
        <w:t xml:space="preserve"> there to be fair and attractive compensation for</w:t>
      </w:r>
      <w:r>
        <w:rPr>
          <w:lang w:eastAsia="ja-JP"/>
        </w:rPr>
        <w:t xml:space="preserve"> professional adm</w:t>
      </w:r>
      <w:r w:rsidR="00AB3BA3">
        <w:rPr>
          <w:lang w:eastAsia="ja-JP"/>
        </w:rPr>
        <w:t>inistrators</w:t>
      </w:r>
      <w:r w:rsidR="00A930F2">
        <w:rPr>
          <w:lang w:eastAsia="ja-JP"/>
        </w:rPr>
        <w:t>.</w:t>
      </w:r>
      <w:r>
        <w:rPr>
          <w:lang w:eastAsia="ja-JP"/>
        </w:rPr>
        <w:t xml:space="preserve"> . If remuneration is set too low, such that it become</w:t>
      </w:r>
      <w:r w:rsidR="007F1EFB">
        <w:rPr>
          <w:lang w:eastAsia="ja-JP"/>
        </w:rPr>
        <w:t>s</w:t>
      </w:r>
      <w:r>
        <w:rPr>
          <w:lang w:eastAsia="ja-JP"/>
        </w:rPr>
        <w:t xml:space="preserve"> </w:t>
      </w:r>
      <w:r w:rsidR="00265F70">
        <w:rPr>
          <w:lang w:eastAsia="ja-JP"/>
        </w:rPr>
        <w:t xml:space="preserve">unattractive </w:t>
      </w:r>
      <w:r>
        <w:rPr>
          <w:lang w:eastAsia="ja-JP"/>
        </w:rPr>
        <w:t xml:space="preserve">to offer services, ultimately </w:t>
      </w:r>
      <w:r w:rsidR="00265F70">
        <w:rPr>
          <w:lang w:eastAsia="ja-JP"/>
        </w:rPr>
        <w:t>there will be a smaller and less competitive market of</w:t>
      </w:r>
      <w:r>
        <w:rPr>
          <w:lang w:eastAsia="ja-JP"/>
        </w:rPr>
        <w:t xml:space="preserve"> </w:t>
      </w:r>
      <w:r w:rsidR="00AB3BA3">
        <w:rPr>
          <w:lang w:eastAsia="ja-JP"/>
        </w:rPr>
        <w:t>administrator</w:t>
      </w:r>
      <w:r w:rsidR="00A71882">
        <w:rPr>
          <w:lang w:eastAsia="ja-JP"/>
        </w:rPr>
        <w:t>s</w:t>
      </w:r>
      <w:r w:rsidR="00265F70">
        <w:rPr>
          <w:lang w:eastAsia="ja-JP"/>
        </w:rPr>
        <w:t xml:space="preserve"> that will limit the choices of represented persons</w:t>
      </w:r>
      <w:r>
        <w:rPr>
          <w:lang w:eastAsia="ja-JP"/>
        </w:rPr>
        <w:t>.</w:t>
      </w:r>
      <w:r w:rsidR="006630F3">
        <w:rPr>
          <w:lang w:eastAsia="ja-JP"/>
        </w:rPr>
        <w:t xml:space="preserve"> </w:t>
      </w:r>
      <w:r w:rsidR="003D1895">
        <w:rPr>
          <w:lang w:eastAsia="ja-JP"/>
        </w:rPr>
        <w:t>It is recognised</w:t>
      </w:r>
      <w:r w:rsidR="006630F3">
        <w:rPr>
          <w:lang w:eastAsia="ja-JP"/>
        </w:rPr>
        <w:t xml:space="preserve"> that fair and attractive compensation is necessary in any proposed scale.</w:t>
      </w:r>
    </w:p>
    <w:p w14:paraId="05A446AD" w14:textId="12580A82" w:rsidR="00FF0C4E" w:rsidRDefault="00FF0C4E" w:rsidP="00FF0C4E">
      <w:pPr>
        <w:rPr>
          <w:lang w:eastAsia="ja-JP"/>
        </w:rPr>
      </w:pPr>
      <w:r>
        <w:rPr>
          <w:lang w:eastAsia="ja-JP"/>
        </w:rPr>
        <w:t>To that end, professional administrators should be recompensed for the value of the time they spend on administration tasks and in a way that recognises the specialist skills they bring to their role as administrator</w:t>
      </w:r>
      <w:r w:rsidR="00CF7D77">
        <w:rPr>
          <w:lang w:eastAsia="ja-JP"/>
        </w:rPr>
        <w:t>s</w:t>
      </w:r>
      <w:r>
        <w:rPr>
          <w:lang w:eastAsia="ja-JP"/>
        </w:rPr>
        <w:t xml:space="preserve">. However, this would vary for each administrator, or each type of administrator, and there are </w:t>
      </w:r>
      <w:r w:rsidR="007F0FA7">
        <w:rPr>
          <w:lang w:eastAsia="ja-JP"/>
        </w:rPr>
        <w:t>divergen</w:t>
      </w:r>
      <w:r w:rsidR="00EB1750">
        <w:rPr>
          <w:lang w:eastAsia="ja-JP"/>
        </w:rPr>
        <w:t xml:space="preserve">t </w:t>
      </w:r>
      <w:r>
        <w:rPr>
          <w:lang w:eastAsia="ja-JP"/>
        </w:rPr>
        <w:t xml:space="preserve">methodological </w:t>
      </w:r>
      <w:r w:rsidR="00EB1750">
        <w:rPr>
          <w:lang w:eastAsia="ja-JP"/>
        </w:rPr>
        <w:t xml:space="preserve">approaches </w:t>
      </w:r>
      <w:r>
        <w:rPr>
          <w:lang w:eastAsia="ja-JP"/>
        </w:rPr>
        <w:t xml:space="preserve">in estimating a true opportunity cost </w:t>
      </w:r>
      <w:r w:rsidR="00CF7D77">
        <w:rPr>
          <w:lang w:eastAsia="ja-JP"/>
        </w:rPr>
        <w:t xml:space="preserve">of performing administrator tasks </w:t>
      </w:r>
      <w:r>
        <w:rPr>
          <w:lang w:eastAsia="ja-JP"/>
        </w:rPr>
        <w:t>(the remuneration the administrator could have earned from doing something else).</w:t>
      </w:r>
    </w:p>
    <w:p w14:paraId="64EE8634" w14:textId="039FA747" w:rsidR="00EB1750" w:rsidRDefault="00EB1750" w:rsidP="00FF0C4E">
      <w:pPr>
        <w:rPr>
          <w:lang w:eastAsia="ja-JP"/>
        </w:rPr>
      </w:pPr>
      <w:r>
        <w:rPr>
          <w:lang w:eastAsia="ja-JP"/>
        </w:rPr>
        <w:t xml:space="preserve">Further, it is noted that the current approach to remuneration that relies on the PRO does not seek to compensate lawyers for their true opportunity cost. </w:t>
      </w:r>
      <w:r w:rsidR="005F46EA">
        <w:rPr>
          <w:lang w:eastAsia="ja-JP"/>
        </w:rPr>
        <w:t xml:space="preserve">Legal practitioners could, if they wish, earn much higher rates than </w:t>
      </w:r>
      <w:r w:rsidR="003F40C7">
        <w:rPr>
          <w:lang w:eastAsia="ja-JP"/>
        </w:rPr>
        <w:t>is provided for in the PRO. Hence, the current approach already</w:t>
      </w:r>
      <w:r w:rsidR="00D454EA">
        <w:rPr>
          <w:lang w:eastAsia="ja-JP"/>
        </w:rPr>
        <w:t xml:space="preserve"> embeds the principle of </w:t>
      </w:r>
      <w:r w:rsidR="00DA7AA1">
        <w:rPr>
          <w:lang w:eastAsia="ja-JP"/>
        </w:rPr>
        <w:t xml:space="preserve">limiting remuneration </w:t>
      </w:r>
      <w:r w:rsidR="00D51593">
        <w:rPr>
          <w:lang w:eastAsia="ja-JP"/>
        </w:rPr>
        <w:t>below what a lawyer might otherwise be able to earn.</w:t>
      </w:r>
    </w:p>
    <w:p w14:paraId="13100060" w14:textId="27FD9432" w:rsidR="00E46802" w:rsidRDefault="00E46802" w:rsidP="00E934AA">
      <w:pPr>
        <w:rPr>
          <w:lang w:eastAsia="ja-JP"/>
        </w:rPr>
      </w:pPr>
      <w:r>
        <w:rPr>
          <w:lang w:eastAsia="ja-JP"/>
        </w:rPr>
        <w:t xml:space="preserve">It is noted that in </w:t>
      </w:r>
      <w:r w:rsidR="00AB3BA3">
        <w:rPr>
          <w:lang w:eastAsia="ja-JP"/>
        </w:rPr>
        <w:t>Queensland</w:t>
      </w:r>
      <w:r>
        <w:rPr>
          <w:lang w:eastAsia="ja-JP"/>
        </w:rPr>
        <w:t>, the admi</w:t>
      </w:r>
      <w:r w:rsidR="00AB3BA3">
        <w:rPr>
          <w:lang w:eastAsia="ja-JP"/>
        </w:rPr>
        <w:t>nistrator</w:t>
      </w:r>
      <w:r>
        <w:rPr>
          <w:lang w:eastAsia="ja-JP"/>
        </w:rPr>
        <w:t xml:space="preserve"> is free to </w:t>
      </w:r>
      <w:r w:rsidR="00790C28">
        <w:rPr>
          <w:lang w:eastAsia="ja-JP"/>
        </w:rPr>
        <w:t xml:space="preserve">set </w:t>
      </w:r>
      <w:r>
        <w:rPr>
          <w:lang w:eastAsia="ja-JP"/>
        </w:rPr>
        <w:t xml:space="preserve">their own remuneration rates, as long as they can demonstrate </w:t>
      </w:r>
      <w:r w:rsidR="004F4E9D">
        <w:rPr>
          <w:lang w:eastAsia="ja-JP"/>
        </w:rPr>
        <w:t xml:space="preserve">to the tribunal </w:t>
      </w:r>
      <w:r w:rsidR="008D0454">
        <w:rPr>
          <w:lang w:eastAsia="ja-JP"/>
        </w:rPr>
        <w:t>that the rates</w:t>
      </w:r>
      <w:r>
        <w:rPr>
          <w:lang w:eastAsia="ja-JP"/>
        </w:rPr>
        <w:t xml:space="preserve"> meets the criteria</w:t>
      </w:r>
      <w:r w:rsidR="00CF7D77">
        <w:rPr>
          <w:lang w:eastAsia="ja-JP"/>
        </w:rPr>
        <w:t xml:space="preserve"> (</w:t>
      </w:r>
      <w:r w:rsidR="00F25473">
        <w:rPr>
          <w:lang w:eastAsia="ja-JP"/>
        </w:rPr>
        <w:t xml:space="preserve">set </w:t>
      </w:r>
      <w:r w:rsidR="00CF7D77">
        <w:rPr>
          <w:lang w:eastAsia="ja-JP"/>
        </w:rPr>
        <w:t>out above)</w:t>
      </w:r>
      <w:r>
        <w:rPr>
          <w:lang w:eastAsia="ja-JP"/>
        </w:rPr>
        <w:t>.</w:t>
      </w:r>
      <w:r w:rsidR="00EA05C2">
        <w:rPr>
          <w:lang w:eastAsia="ja-JP"/>
        </w:rPr>
        <w:t xml:space="preserve"> The criteria are not a calculus to arrive at a particular rate of remuneration, but rather factors that the tribunal has regard to in determining whether the </w:t>
      </w:r>
      <w:r w:rsidR="004F4E9D">
        <w:rPr>
          <w:lang w:eastAsia="ja-JP"/>
        </w:rPr>
        <w:t>remuneration</w:t>
      </w:r>
      <w:r w:rsidR="00EA05C2">
        <w:rPr>
          <w:lang w:eastAsia="ja-JP"/>
        </w:rPr>
        <w:t xml:space="preserve"> is, in all of the circumstances, fair and </w:t>
      </w:r>
      <w:r w:rsidR="004F4E9D">
        <w:rPr>
          <w:lang w:eastAsia="ja-JP"/>
        </w:rPr>
        <w:t>reasonable</w:t>
      </w:r>
      <w:r w:rsidR="00EA05C2">
        <w:rPr>
          <w:lang w:eastAsia="ja-JP"/>
        </w:rPr>
        <w:t xml:space="preserve">. In a dispute from </w:t>
      </w:r>
      <w:r w:rsidR="004A33E2">
        <w:rPr>
          <w:lang w:eastAsia="ja-JP"/>
        </w:rPr>
        <w:t>2014</w:t>
      </w:r>
      <w:r w:rsidR="00EA05C2">
        <w:rPr>
          <w:lang w:eastAsia="ja-JP"/>
        </w:rPr>
        <w:t xml:space="preserve"> about this requirement, the tribunal found that a remuneration rate of $</w:t>
      </w:r>
      <w:r w:rsidR="00EA05C2" w:rsidRPr="00B9065B">
        <w:t>4</w:t>
      </w:r>
      <w:r w:rsidR="00E478FD" w:rsidRPr="00B9065B">
        <w:t>2</w:t>
      </w:r>
      <w:r w:rsidR="00EA05C2" w:rsidRPr="00B9065B">
        <w:t>0</w:t>
      </w:r>
      <w:r w:rsidR="00EA05C2">
        <w:rPr>
          <w:lang w:eastAsia="ja-JP"/>
        </w:rPr>
        <w:t xml:space="preserve"> per hour </w:t>
      </w:r>
      <w:r w:rsidR="00E478FD">
        <w:rPr>
          <w:lang w:eastAsia="ja-JP"/>
        </w:rPr>
        <w:t xml:space="preserve">(for an appointment made in 2010) </w:t>
      </w:r>
      <w:r w:rsidR="00EA05C2">
        <w:rPr>
          <w:lang w:eastAsia="ja-JP"/>
        </w:rPr>
        <w:t xml:space="preserve">was fair and reasonable, because it reflected the true value of the </w:t>
      </w:r>
      <w:r w:rsidR="004F4E9D">
        <w:rPr>
          <w:lang w:eastAsia="ja-JP"/>
        </w:rPr>
        <w:t>administrator’s</w:t>
      </w:r>
      <w:r w:rsidR="00EA05C2">
        <w:rPr>
          <w:lang w:eastAsia="ja-JP"/>
        </w:rPr>
        <w:t xml:space="preserve"> time.</w:t>
      </w:r>
      <w:r w:rsidR="00E478FD">
        <w:rPr>
          <w:rStyle w:val="FootnoteReference"/>
          <w:lang w:eastAsia="ja-JP"/>
        </w:rPr>
        <w:footnoteReference w:id="13"/>
      </w:r>
    </w:p>
    <w:p w14:paraId="00196223" w14:textId="2A0C2E58" w:rsidR="00A71882" w:rsidRDefault="00EA05C2" w:rsidP="00E934AA">
      <w:pPr>
        <w:rPr>
          <w:lang w:eastAsia="ja-JP"/>
        </w:rPr>
      </w:pPr>
      <w:r>
        <w:rPr>
          <w:lang w:eastAsia="ja-JP"/>
        </w:rPr>
        <w:lastRenderedPageBreak/>
        <w:t xml:space="preserve">However, setting a remuneration scale to apply to all professional </w:t>
      </w:r>
      <w:r w:rsidR="004F4E9D">
        <w:rPr>
          <w:lang w:eastAsia="ja-JP"/>
        </w:rPr>
        <w:t>administrator</w:t>
      </w:r>
      <w:r w:rsidR="00A71882">
        <w:rPr>
          <w:lang w:eastAsia="ja-JP"/>
        </w:rPr>
        <w:t>s</w:t>
      </w:r>
      <w:r>
        <w:rPr>
          <w:lang w:eastAsia="ja-JP"/>
        </w:rPr>
        <w:t xml:space="preserve"> needs to embed a lower rate. </w:t>
      </w:r>
      <w:r w:rsidR="007F3ABE">
        <w:rPr>
          <w:lang w:eastAsia="ja-JP"/>
        </w:rPr>
        <w:t xml:space="preserve">The scale </w:t>
      </w:r>
      <w:r>
        <w:rPr>
          <w:lang w:eastAsia="ja-JP"/>
        </w:rPr>
        <w:t xml:space="preserve">should reflect the distribution of rates that </w:t>
      </w:r>
      <w:r w:rsidR="004F4E9D">
        <w:rPr>
          <w:lang w:eastAsia="ja-JP"/>
        </w:rPr>
        <w:t>administrators</w:t>
      </w:r>
      <w:r>
        <w:rPr>
          <w:lang w:eastAsia="ja-JP"/>
        </w:rPr>
        <w:t xml:space="preserve"> might otherwise charge</w:t>
      </w:r>
      <w:r w:rsidR="007F3ABE">
        <w:rPr>
          <w:lang w:eastAsia="ja-JP"/>
        </w:rPr>
        <w:t xml:space="preserve"> and recognise what is considered fair and reasonable from the point of view of the represented person (this might suggest a ‘lowest efficient price’ approach). </w:t>
      </w:r>
      <w:r w:rsidR="0090041A">
        <w:rPr>
          <w:lang w:eastAsia="ja-JP"/>
        </w:rPr>
        <w:t xml:space="preserve">However, any scale should avoid a situation where administrators are incentivised to reduce the </w:t>
      </w:r>
      <w:r w:rsidR="0090041A">
        <w:rPr>
          <w:i/>
          <w:iCs/>
          <w:lang w:eastAsia="ja-JP"/>
        </w:rPr>
        <w:t>quality</w:t>
      </w:r>
      <w:r w:rsidR="0090041A">
        <w:rPr>
          <w:lang w:eastAsia="ja-JP"/>
        </w:rPr>
        <w:t xml:space="preserve"> of their services if rates are too low</w:t>
      </w:r>
      <w:r w:rsidR="008D0454">
        <w:rPr>
          <w:lang w:eastAsia="ja-JP"/>
        </w:rPr>
        <w:t>,</w:t>
      </w:r>
      <w:r w:rsidR="0090041A">
        <w:rPr>
          <w:lang w:eastAsia="ja-JP"/>
        </w:rPr>
        <w:t xml:space="preserve"> or </w:t>
      </w:r>
      <w:r w:rsidR="008D0454">
        <w:rPr>
          <w:lang w:eastAsia="ja-JP"/>
        </w:rPr>
        <w:t xml:space="preserve">to </w:t>
      </w:r>
      <w:r w:rsidR="0090041A">
        <w:rPr>
          <w:lang w:eastAsia="ja-JP"/>
        </w:rPr>
        <w:t>withdraw from the market altogether</w:t>
      </w:r>
      <w:r w:rsidR="008D0454">
        <w:rPr>
          <w:lang w:eastAsia="ja-JP"/>
        </w:rPr>
        <w:t>.</w:t>
      </w:r>
      <w:r w:rsidR="0090041A">
        <w:rPr>
          <w:lang w:eastAsia="ja-JP"/>
        </w:rPr>
        <w:t>. Either scenario would not be in the overall interests of represented persons.</w:t>
      </w:r>
    </w:p>
    <w:p w14:paraId="25E91809" w14:textId="305ABC36" w:rsidR="00AA5D7E" w:rsidRDefault="00AA5D7E" w:rsidP="00E934AA">
      <w:pPr>
        <w:rPr>
          <w:lang w:eastAsia="ja-JP"/>
        </w:rPr>
      </w:pPr>
      <w:r>
        <w:rPr>
          <w:lang w:eastAsia="ja-JP"/>
        </w:rPr>
        <w:t>It is recognised that any change to the remuneration arrangements will likely have consequences</w:t>
      </w:r>
      <w:r w:rsidR="00FE6DD5">
        <w:rPr>
          <w:lang w:eastAsia="ja-JP"/>
        </w:rPr>
        <w:t xml:space="preserve"> on the ‘market’ for professional administrators</w:t>
      </w:r>
      <w:r w:rsidR="00345CE5">
        <w:rPr>
          <w:lang w:eastAsia="ja-JP"/>
        </w:rPr>
        <w:t xml:space="preserve">. For example, by fixing remuneration rates at a certain level, </w:t>
      </w:r>
      <w:r w:rsidR="002475DC">
        <w:rPr>
          <w:lang w:eastAsia="ja-JP"/>
        </w:rPr>
        <w:t xml:space="preserve">administering the affairs of some represented persons may become </w:t>
      </w:r>
      <w:r w:rsidR="00F25473">
        <w:rPr>
          <w:lang w:eastAsia="ja-JP"/>
        </w:rPr>
        <w:t xml:space="preserve">unviable </w:t>
      </w:r>
      <w:r w:rsidR="002475DC">
        <w:rPr>
          <w:lang w:eastAsia="ja-JP"/>
        </w:rPr>
        <w:t xml:space="preserve">for </w:t>
      </w:r>
      <w:r w:rsidR="00DE5B65">
        <w:rPr>
          <w:lang w:eastAsia="ja-JP"/>
        </w:rPr>
        <w:t xml:space="preserve">some </w:t>
      </w:r>
      <w:r w:rsidR="002475DC">
        <w:rPr>
          <w:lang w:eastAsia="ja-JP"/>
        </w:rPr>
        <w:t>pro</w:t>
      </w:r>
      <w:r w:rsidR="008577BB">
        <w:rPr>
          <w:lang w:eastAsia="ja-JP"/>
        </w:rPr>
        <w:t xml:space="preserve">fessional services firms, with those represented persons instead </w:t>
      </w:r>
      <w:r w:rsidR="00DD4FB3">
        <w:rPr>
          <w:lang w:eastAsia="ja-JP"/>
        </w:rPr>
        <w:t xml:space="preserve">being represented by someone else (often State Trustees). </w:t>
      </w:r>
      <w:r w:rsidR="00A8606C">
        <w:rPr>
          <w:lang w:eastAsia="ja-JP"/>
        </w:rPr>
        <w:t xml:space="preserve">However, for others, </w:t>
      </w:r>
      <w:r w:rsidR="001011AD">
        <w:rPr>
          <w:lang w:eastAsia="ja-JP"/>
        </w:rPr>
        <w:t xml:space="preserve">the ability to engage professional services specialists may become a more affordable option. The important consideration is that, </w:t>
      </w:r>
      <w:r w:rsidR="00CB285D">
        <w:rPr>
          <w:lang w:eastAsia="ja-JP"/>
        </w:rPr>
        <w:t xml:space="preserve">overall, the rates of remuneration continue to allow </w:t>
      </w:r>
      <w:r w:rsidR="00B61CF2">
        <w:rPr>
          <w:lang w:eastAsia="ja-JP"/>
        </w:rPr>
        <w:t xml:space="preserve">a reasonable degree of choice of </w:t>
      </w:r>
      <w:r w:rsidR="00355E23">
        <w:rPr>
          <w:lang w:eastAsia="ja-JP"/>
        </w:rPr>
        <w:t>administrator</w:t>
      </w:r>
      <w:r w:rsidR="00B61CF2">
        <w:rPr>
          <w:lang w:eastAsia="ja-JP"/>
        </w:rPr>
        <w:t xml:space="preserve">, options for personalised service, </w:t>
      </w:r>
      <w:r w:rsidR="00355E23">
        <w:rPr>
          <w:lang w:eastAsia="ja-JP"/>
        </w:rPr>
        <w:t>and the ability to appoint administrators best suited to the particular needs of the represented person.</w:t>
      </w:r>
    </w:p>
    <w:p w14:paraId="7FC6B65A" w14:textId="4661C185" w:rsidR="00F02203" w:rsidRDefault="00F02203" w:rsidP="00F02203">
      <w:pPr>
        <w:pStyle w:val="Heading2"/>
        <w:rPr>
          <w:lang w:eastAsia="ja-JP"/>
        </w:rPr>
      </w:pPr>
      <w:bookmarkStart w:id="67" w:name="_Toc117064507"/>
      <w:bookmarkStart w:id="68" w:name="_Toc115704193"/>
      <w:bookmarkStart w:id="69" w:name="_Toc124917436"/>
      <w:r>
        <w:rPr>
          <w:lang w:eastAsia="ja-JP"/>
        </w:rPr>
        <w:t>Task-based approach</w:t>
      </w:r>
      <w:r w:rsidR="00F64281">
        <w:rPr>
          <w:lang w:eastAsia="ja-JP"/>
        </w:rPr>
        <w:t xml:space="preserve"> to delineation</w:t>
      </w:r>
      <w:bookmarkEnd w:id="67"/>
      <w:bookmarkEnd w:id="68"/>
      <w:bookmarkEnd w:id="69"/>
    </w:p>
    <w:p w14:paraId="6FB2265C" w14:textId="23F34015" w:rsidR="00F02203" w:rsidRDefault="00F02203" w:rsidP="00246741">
      <w:pPr>
        <w:rPr>
          <w:lang w:eastAsia="ja-JP"/>
        </w:rPr>
      </w:pPr>
      <w:r>
        <w:rPr>
          <w:lang w:eastAsia="ja-JP"/>
        </w:rPr>
        <w:t xml:space="preserve">Of the </w:t>
      </w:r>
      <w:r w:rsidR="004F4E9D">
        <w:rPr>
          <w:lang w:eastAsia="ja-JP"/>
        </w:rPr>
        <w:t>opportunities</w:t>
      </w:r>
      <w:r w:rsidR="00F64281">
        <w:rPr>
          <w:lang w:eastAsia="ja-JP"/>
        </w:rPr>
        <w:t xml:space="preserve"> discussed with stakeholders, </w:t>
      </w:r>
      <w:r w:rsidR="00A41CB2">
        <w:rPr>
          <w:lang w:eastAsia="ja-JP"/>
        </w:rPr>
        <w:t>it is considered that</w:t>
      </w:r>
      <w:r w:rsidR="009A4C1A">
        <w:rPr>
          <w:lang w:eastAsia="ja-JP"/>
        </w:rPr>
        <w:t xml:space="preserve"> </w:t>
      </w:r>
      <w:r w:rsidR="00F64281">
        <w:rPr>
          <w:lang w:eastAsia="ja-JP"/>
        </w:rPr>
        <w:t xml:space="preserve">a task-based approach is the most appropriate, being able to be clearly </w:t>
      </w:r>
      <w:r w:rsidR="004F4E9D">
        <w:rPr>
          <w:lang w:eastAsia="ja-JP"/>
        </w:rPr>
        <w:t>articulated</w:t>
      </w:r>
      <w:r w:rsidR="00F64281">
        <w:rPr>
          <w:lang w:eastAsia="ja-JP"/>
        </w:rPr>
        <w:t xml:space="preserve">, providing clarity, transparency and consistency. It also allows the scale to bring to the fore </w:t>
      </w:r>
      <w:r w:rsidR="00681A85">
        <w:rPr>
          <w:lang w:eastAsia="ja-JP"/>
        </w:rPr>
        <w:t xml:space="preserve">reasons </w:t>
      </w:r>
      <w:r w:rsidR="00F64281">
        <w:rPr>
          <w:lang w:eastAsia="ja-JP"/>
        </w:rPr>
        <w:t xml:space="preserve">why the current approaches are not fit for purpose, by </w:t>
      </w:r>
      <w:r w:rsidR="004F4E9D">
        <w:rPr>
          <w:lang w:eastAsia="ja-JP"/>
        </w:rPr>
        <w:t>giving</w:t>
      </w:r>
      <w:r w:rsidR="00F64281">
        <w:rPr>
          <w:lang w:eastAsia="ja-JP"/>
        </w:rPr>
        <w:t xml:space="preserve"> focus to the common tasks expected to be performed by </w:t>
      </w:r>
      <w:r w:rsidR="004F4E9D">
        <w:rPr>
          <w:lang w:eastAsia="ja-JP"/>
        </w:rPr>
        <w:t>administrators</w:t>
      </w:r>
      <w:r w:rsidR="00F64281">
        <w:rPr>
          <w:lang w:eastAsia="ja-JP"/>
        </w:rPr>
        <w:t>.</w:t>
      </w:r>
    </w:p>
    <w:p w14:paraId="0D5BF89E" w14:textId="67932763" w:rsidR="00F64281" w:rsidRDefault="00F64281" w:rsidP="00246741">
      <w:pPr>
        <w:rPr>
          <w:lang w:eastAsia="ja-JP"/>
        </w:rPr>
      </w:pPr>
      <w:r>
        <w:rPr>
          <w:lang w:eastAsia="ja-JP"/>
        </w:rPr>
        <w:t xml:space="preserve">The task-based approach allows the scale to set different rates for different tasks. It is common practice that, even where the appointed </w:t>
      </w:r>
      <w:r w:rsidR="004F4E9D">
        <w:rPr>
          <w:lang w:eastAsia="ja-JP"/>
        </w:rPr>
        <w:t>administrator</w:t>
      </w:r>
      <w:r>
        <w:rPr>
          <w:lang w:eastAsia="ja-JP"/>
        </w:rPr>
        <w:t xml:space="preserve"> is an individual, much of the day-to-day tasks are performed by other staff with</w:t>
      </w:r>
      <w:r w:rsidR="006448BC">
        <w:rPr>
          <w:lang w:eastAsia="ja-JP"/>
        </w:rPr>
        <w:t>in</w:t>
      </w:r>
      <w:r>
        <w:rPr>
          <w:lang w:eastAsia="ja-JP"/>
        </w:rPr>
        <w:t xml:space="preserve"> the business (e.g., law clerks or administrative staff in a law firm). The remuneration attached to different tasks should reflect whether (and to what degree) a task is likely to be (or should be) </w:t>
      </w:r>
      <w:r w:rsidR="004F4E9D">
        <w:rPr>
          <w:lang w:eastAsia="ja-JP"/>
        </w:rPr>
        <w:t>performed</w:t>
      </w:r>
      <w:r>
        <w:rPr>
          <w:lang w:eastAsia="ja-JP"/>
        </w:rPr>
        <w:t xml:space="preserve"> by the </w:t>
      </w:r>
      <w:r w:rsidR="004F4E9D">
        <w:rPr>
          <w:lang w:eastAsia="ja-JP"/>
        </w:rPr>
        <w:t>administrator</w:t>
      </w:r>
      <w:r>
        <w:rPr>
          <w:lang w:eastAsia="ja-JP"/>
        </w:rPr>
        <w:t xml:space="preserve"> </w:t>
      </w:r>
      <w:r w:rsidR="004F4E9D">
        <w:rPr>
          <w:lang w:eastAsia="ja-JP"/>
        </w:rPr>
        <w:t>personally</w:t>
      </w:r>
      <w:r>
        <w:rPr>
          <w:lang w:eastAsia="ja-JP"/>
        </w:rPr>
        <w:t xml:space="preserve">. This may </w:t>
      </w:r>
      <w:r w:rsidR="00A23861">
        <w:rPr>
          <w:lang w:eastAsia="ja-JP"/>
        </w:rPr>
        <w:t xml:space="preserve">be </w:t>
      </w:r>
      <w:r>
        <w:rPr>
          <w:lang w:eastAsia="ja-JP"/>
        </w:rPr>
        <w:t xml:space="preserve">because of other </w:t>
      </w:r>
      <w:r w:rsidR="004F4E9D">
        <w:rPr>
          <w:lang w:eastAsia="ja-JP"/>
        </w:rPr>
        <w:t>requirements</w:t>
      </w:r>
      <w:r>
        <w:rPr>
          <w:lang w:eastAsia="ja-JP"/>
        </w:rPr>
        <w:t xml:space="preserve"> to deal directly with the </w:t>
      </w:r>
      <w:r w:rsidR="004F4E9D">
        <w:rPr>
          <w:lang w:eastAsia="ja-JP"/>
        </w:rPr>
        <w:t>administrator</w:t>
      </w:r>
      <w:r>
        <w:rPr>
          <w:lang w:eastAsia="ja-JP"/>
        </w:rPr>
        <w:t xml:space="preserve"> (e.g., dealing with banks), or because the particular skill required for the tasks is expected to be performed by the </w:t>
      </w:r>
      <w:r w:rsidR="004F4E9D">
        <w:rPr>
          <w:lang w:eastAsia="ja-JP"/>
        </w:rPr>
        <w:t>administrator</w:t>
      </w:r>
      <w:r>
        <w:rPr>
          <w:lang w:eastAsia="ja-JP"/>
        </w:rPr>
        <w:t xml:space="preserve"> themselves.</w:t>
      </w:r>
    </w:p>
    <w:p w14:paraId="08FDD3E9" w14:textId="5B1AA8E9" w:rsidR="00F64281" w:rsidRDefault="00F64281" w:rsidP="00246741">
      <w:pPr>
        <w:rPr>
          <w:lang w:eastAsia="ja-JP"/>
        </w:rPr>
      </w:pPr>
      <w:r>
        <w:rPr>
          <w:lang w:eastAsia="ja-JP"/>
        </w:rPr>
        <w:t xml:space="preserve">That said, it would be too cumbersome to have </w:t>
      </w:r>
      <w:r w:rsidR="008F5F8A">
        <w:rPr>
          <w:lang w:eastAsia="ja-JP"/>
        </w:rPr>
        <w:t xml:space="preserve">long tables or </w:t>
      </w:r>
      <w:r w:rsidR="004F4E9D">
        <w:rPr>
          <w:lang w:eastAsia="ja-JP"/>
        </w:rPr>
        <w:t>schedules</w:t>
      </w:r>
      <w:r w:rsidR="008F5F8A">
        <w:rPr>
          <w:lang w:eastAsia="ja-JP"/>
        </w:rPr>
        <w:t xml:space="preserve"> with different rates for each task.</w:t>
      </w:r>
      <w:r w:rsidR="00E11B24">
        <w:rPr>
          <w:rStyle w:val="FootnoteReference"/>
          <w:lang w:eastAsia="ja-JP"/>
        </w:rPr>
        <w:footnoteReference w:id="14"/>
      </w:r>
      <w:r w:rsidR="008F5F8A">
        <w:rPr>
          <w:lang w:eastAsia="ja-JP"/>
        </w:rPr>
        <w:t xml:space="preserve"> It is </w:t>
      </w:r>
      <w:r w:rsidR="008F0669">
        <w:rPr>
          <w:lang w:eastAsia="ja-JP"/>
        </w:rPr>
        <w:t xml:space="preserve">proposed </w:t>
      </w:r>
      <w:r w:rsidR="008F5F8A">
        <w:rPr>
          <w:lang w:eastAsia="ja-JP"/>
        </w:rPr>
        <w:t>that tasks be grouped into two cat</w:t>
      </w:r>
      <w:r w:rsidR="004F4E9D">
        <w:rPr>
          <w:lang w:eastAsia="ja-JP"/>
        </w:rPr>
        <w:t xml:space="preserve">egories based on who needs to perform the task. During consultation, a range of tasks </w:t>
      </w:r>
      <w:r w:rsidR="00741E7C">
        <w:rPr>
          <w:lang w:eastAsia="ja-JP"/>
        </w:rPr>
        <w:t xml:space="preserve">was considered </w:t>
      </w:r>
      <w:r w:rsidR="004F4E9D">
        <w:rPr>
          <w:lang w:eastAsia="ja-JP"/>
        </w:rPr>
        <w:t xml:space="preserve">and feedback </w:t>
      </w:r>
      <w:r w:rsidR="00741E7C">
        <w:rPr>
          <w:lang w:eastAsia="ja-JP"/>
        </w:rPr>
        <w:t xml:space="preserve">was sought </w:t>
      </w:r>
      <w:r w:rsidR="004F4E9D">
        <w:rPr>
          <w:lang w:eastAsia="ja-JP"/>
        </w:rPr>
        <w:t xml:space="preserve">on how these tasks are typically performed (by whom). There was not </w:t>
      </w:r>
      <w:r w:rsidR="00FE3C40">
        <w:rPr>
          <w:lang w:eastAsia="ja-JP"/>
        </w:rPr>
        <w:t>universal</w:t>
      </w:r>
      <w:r w:rsidR="004F4E9D">
        <w:rPr>
          <w:lang w:eastAsia="ja-JP"/>
        </w:rPr>
        <w:t xml:space="preserve"> agreement on these tasks.</w:t>
      </w:r>
    </w:p>
    <w:p w14:paraId="0E843D9E" w14:textId="319AA776" w:rsidR="001C70AF" w:rsidRDefault="00603D5F" w:rsidP="007919B6">
      <w:pPr>
        <w:rPr>
          <w:lang w:eastAsia="ja-JP"/>
        </w:rPr>
      </w:pPr>
      <w:r>
        <w:rPr>
          <w:lang w:eastAsia="ja-JP"/>
        </w:rPr>
        <w:t xml:space="preserve">It is recognised </w:t>
      </w:r>
      <w:r w:rsidR="001C70AF">
        <w:rPr>
          <w:lang w:eastAsia="ja-JP"/>
        </w:rPr>
        <w:t xml:space="preserve">that weighing up all </w:t>
      </w:r>
      <w:r>
        <w:rPr>
          <w:lang w:eastAsia="ja-JP"/>
        </w:rPr>
        <w:t xml:space="preserve">of </w:t>
      </w:r>
      <w:r w:rsidR="001C70AF">
        <w:rPr>
          <w:lang w:eastAsia="ja-JP"/>
        </w:rPr>
        <w:t xml:space="preserve">the different objectives and considerations in setting an appropriate rate of remuneration </w:t>
      </w:r>
      <w:r w:rsidR="001F5C5F">
        <w:rPr>
          <w:lang w:eastAsia="ja-JP"/>
        </w:rPr>
        <w:t>does</w:t>
      </w:r>
      <w:r w:rsidR="001C70AF">
        <w:rPr>
          <w:lang w:eastAsia="ja-JP"/>
        </w:rPr>
        <w:t xml:space="preserve"> not lead to a </w:t>
      </w:r>
      <w:r w:rsidR="001F5C5F">
        <w:rPr>
          <w:lang w:eastAsia="ja-JP"/>
        </w:rPr>
        <w:t xml:space="preserve">clear </w:t>
      </w:r>
      <w:r w:rsidR="001C70AF">
        <w:rPr>
          <w:lang w:eastAsia="ja-JP"/>
        </w:rPr>
        <w:t>single agreed rate.</w:t>
      </w:r>
      <w:r w:rsidR="001F5C5F">
        <w:rPr>
          <w:lang w:eastAsia="ja-JP"/>
        </w:rPr>
        <w:t xml:space="preserve"> </w:t>
      </w:r>
      <w:r w:rsidR="001C70AF">
        <w:rPr>
          <w:lang w:eastAsia="ja-JP"/>
        </w:rPr>
        <w:t xml:space="preserve">A range of different fee levels could be argued, with different values having similar overall merits, with slight differences in how they trade-off meeting the desired objectives. However, in absolute terms, </w:t>
      </w:r>
      <w:r>
        <w:rPr>
          <w:lang w:eastAsia="ja-JP"/>
        </w:rPr>
        <w:t xml:space="preserve">it is </w:t>
      </w:r>
      <w:r w:rsidR="00E6237A">
        <w:rPr>
          <w:lang w:eastAsia="ja-JP"/>
        </w:rPr>
        <w:t>considered that</w:t>
      </w:r>
      <w:r w:rsidR="001C70AF">
        <w:rPr>
          <w:lang w:eastAsia="ja-JP"/>
        </w:rPr>
        <w:t xml:space="preserve"> rates of remuneration materially below $</w:t>
      </w:r>
      <w:r w:rsidR="00046053">
        <w:rPr>
          <w:lang w:eastAsia="ja-JP"/>
        </w:rPr>
        <w:t>25</w:t>
      </w:r>
      <w:r w:rsidR="001C70AF">
        <w:rPr>
          <w:lang w:eastAsia="ja-JP"/>
        </w:rPr>
        <w:t>0 per hour for the administrator (and $70 per hour for support staff) would have a significant impact on the availability and willingness of many professionals to continue as administrators; conversely remuneration rates materially above $</w:t>
      </w:r>
      <w:r w:rsidR="00C30473">
        <w:rPr>
          <w:lang w:eastAsia="ja-JP"/>
        </w:rPr>
        <w:t>40</w:t>
      </w:r>
      <w:r w:rsidR="001C70AF">
        <w:rPr>
          <w:lang w:eastAsia="ja-JP"/>
        </w:rPr>
        <w:t xml:space="preserve">0 </w:t>
      </w:r>
      <w:r w:rsidR="001C70AF">
        <w:rPr>
          <w:lang w:eastAsia="ja-JP"/>
        </w:rPr>
        <w:lastRenderedPageBreak/>
        <w:t xml:space="preserve">and $120 per hour, respectively, cannot be considered to </w:t>
      </w:r>
      <w:r w:rsidR="00877F04">
        <w:rPr>
          <w:lang w:eastAsia="ja-JP"/>
        </w:rPr>
        <w:t xml:space="preserve">be </w:t>
      </w:r>
      <w:r w:rsidR="001C70AF">
        <w:rPr>
          <w:lang w:eastAsia="ja-JP"/>
        </w:rPr>
        <w:t xml:space="preserve">in the interests of most represented persons. Hence, because the scale must set out specific amounts, the rates of remuneration </w:t>
      </w:r>
      <w:r>
        <w:rPr>
          <w:lang w:eastAsia="ja-JP"/>
        </w:rPr>
        <w:t xml:space="preserve">listed </w:t>
      </w:r>
      <w:r w:rsidR="001C70AF">
        <w:rPr>
          <w:lang w:eastAsia="ja-JP"/>
        </w:rPr>
        <w:t xml:space="preserve"> </w:t>
      </w:r>
      <w:r w:rsidR="00E31E9B">
        <w:rPr>
          <w:lang w:eastAsia="ja-JP"/>
        </w:rPr>
        <w:t>below</w:t>
      </w:r>
      <w:r w:rsidR="001C70AF">
        <w:rPr>
          <w:lang w:eastAsia="ja-JP"/>
        </w:rPr>
        <w:t xml:space="preserve"> have been proposed.</w:t>
      </w:r>
    </w:p>
    <w:p w14:paraId="187281A6" w14:textId="17BCFCE5" w:rsidR="00AD1F8F" w:rsidRDefault="00D349AB" w:rsidP="00D349AB">
      <w:pPr>
        <w:rPr>
          <w:bCs/>
        </w:rPr>
      </w:pPr>
      <w:r w:rsidRPr="007919B6">
        <w:rPr>
          <w:bCs/>
        </w:rPr>
        <w:t>Balancing the competing factors</w:t>
      </w:r>
      <w:r w:rsidR="004D16C6">
        <w:rPr>
          <w:bCs/>
        </w:rPr>
        <w:t xml:space="preserve"> outlined above</w:t>
      </w:r>
      <w:r w:rsidRPr="007919B6">
        <w:rPr>
          <w:bCs/>
        </w:rPr>
        <w:t xml:space="preserve">, </w:t>
      </w:r>
      <w:r w:rsidR="0050446F" w:rsidRPr="007919B6">
        <w:rPr>
          <w:bCs/>
          <w:lang w:eastAsia="ja-JP"/>
        </w:rPr>
        <w:t>VCAT</w:t>
      </w:r>
      <w:r w:rsidRPr="007919B6">
        <w:rPr>
          <w:bCs/>
          <w:lang w:eastAsia="ja-JP"/>
        </w:rPr>
        <w:t xml:space="preserve"> consider</w:t>
      </w:r>
      <w:r w:rsidR="0050446F" w:rsidRPr="007919B6">
        <w:rPr>
          <w:bCs/>
          <w:lang w:eastAsia="ja-JP"/>
        </w:rPr>
        <w:t>s</w:t>
      </w:r>
      <w:r w:rsidRPr="007919B6">
        <w:rPr>
          <w:bCs/>
        </w:rPr>
        <w:t xml:space="preserve"> that </w:t>
      </w:r>
      <w:r w:rsidR="00721D3E">
        <w:rPr>
          <w:bCs/>
        </w:rPr>
        <w:t xml:space="preserve">the following </w:t>
      </w:r>
      <w:r w:rsidRPr="007919B6">
        <w:rPr>
          <w:bCs/>
        </w:rPr>
        <w:t xml:space="preserve">remuneration rates </w:t>
      </w:r>
      <w:r w:rsidR="00721D3E">
        <w:rPr>
          <w:bCs/>
        </w:rPr>
        <w:t xml:space="preserve">are </w:t>
      </w:r>
      <w:r w:rsidRPr="007919B6">
        <w:rPr>
          <w:bCs/>
        </w:rPr>
        <w:t>representative of typical rates that are reasonable</w:t>
      </w:r>
      <w:r w:rsidR="005E719B" w:rsidRPr="007919B6">
        <w:rPr>
          <w:bCs/>
        </w:rPr>
        <w:t xml:space="preserve"> and</w:t>
      </w:r>
      <w:r w:rsidRPr="007919B6">
        <w:rPr>
          <w:bCs/>
        </w:rPr>
        <w:t xml:space="preserve"> fair to both </w:t>
      </w:r>
      <w:r w:rsidR="003D28F0" w:rsidRPr="007919B6">
        <w:rPr>
          <w:bCs/>
        </w:rPr>
        <w:t>a represented person</w:t>
      </w:r>
      <w:r w:rsidRPr="007919B6">
        <w:rPr>
          <w:bCs/>
        </w:rPr>
        <w:t xml:space="preserve"> and administrator and reflect sufficient value of service</w:t>
      </w:r>
      <w:r w:rsidR="00670A43">
        <w:rPr>
          <w:bCs/>
        </w:rPr>
        <w:t>:</w:t>
      </w:r>
    </w:p>
    <w:p w14:paraId="2E2F94A9" w14:textId="38940988" w:rsidR="00670A43" w:rsidRDefault="00670A43" w:rsidP="007919B6">
      <w:pPr>
        <w:pStyle w:val="ListParagraph"/>
        <w:numPr>
          <w:ilvl w:val="0"/>
          <w:numId w:val="13"/>
        </w:numPr>
        <w:rPr>
          <w:lang w:eastAsia="ja-JP"/>
        </w:rPr>
      </w:pPr>
      <w:r w:rsidRPr="00004943">
        <w:rPr>
          <w:b/>
          <w:bCs/>
        </w:rPr>
        <w:t xml:space="preserve">$300 per </w:t>
      </w:r>
      <w:r w:rsidRPr="00004943">
        <w:rPr>
          <w:b/>
          <w:bCs/>
          <w:lang w:eastAsia="ja-JP"/>
        </w:rPr>
        <w:t>hour</w:t>
      </w:r>
      <w:r w:rsidRPr="007919B6">
        <w:rPr>
          <w:lang w:eastAsia="ja-JP"/>
        </w:rPr>
        <w:t xml:space="preserve"> </w:t>
      </w:r>
      <w:r>
        <w:rPr>
          <w:lang w:eastAsia="ja-JP"/>
        </w:rPr>
        <w:t>for specified tasks that are generally required to be carried out by the administrator personally or require particular skills expected to be performed by the administrator themselves</w:t>
      </w:r>
      <w:r w:rsidR="00004943">
        <w:rPr>
          <w:lang w:eastAsia="ja-JP"/>
        </w:rPr>
        <w:t>,</w:t>
      </w:r>
      <w:r>
        <w:rPr>
          <w:lang w:eastAsia="ja-JP"/>
        </w:rPr>
        <w:t xml:space="preserve"> and </w:t>
      </w:r>
    </w:p>
    <w:p w14:paraId="70345CD1" w14:textId="67EB7955" w:rsidR="002732CC" w:rsidRPr="007919B6" w:rsidRDefault="00670A43" w:rsidP="007919B6">
      <w:pPr>
        <w:pStyle w:val="ListParagraph"/>
      </w:pPr>
      <w:r w:rsidRPr="00004943">
        <w:rPr>
          <w:b/>
          <w:bCs/>
          <w:lang w:eastAsia="ja-JP"/>
        </w:rPr>
        <w:t>$100 per hour</w:t>
      </w:r>
      <w:r w:rsidRPr="00937AEC">
        <w:rPr>
          <w:b/>
          <w:bCs/>
        </w:rPr>
        <w:t xml:space="preserve"> </w:t>
      </w:r>
      <w:r>
        <w:t>for other administration tasks that would be expected to be performed by other staff (junior or support).</w:t>
      </w:r>
    </w:p>
    <w:p w14:paraId="0F98990F" w14:textId="17717736" w:rsidR="00516C75" w:rsidRDefault="00022567" w:rsidP="00D349AB">
      <w:pPr>
        <w:rPr>
          <w:lang w:eastAsia="ja-JP"/>
        </w:rPr>
      </w:pPr>
      <w:r w:rsidRPr="00355922">
        <w:rPr>
          <w:lang w:eastAsia="ja-JP"/>
        </w:rPr>
        <w:t xml:space="preserve">The </w:t>
      </w:r>
      <w:r w:rsidRPr="007919B6">
        <w:rPr>
          <w:bCs/>
        </w:rPr>
        <w:t>proposed</w:t>
      </w:r>
      <w:r w:rsidRPr="00355922">
        <w:rPr>
          <w:lang w:eastAsia="ja-JP"/>
        </w:rPr>
        <w:t xml:space="preserve"> </w:t>
      </w:r>
      <w:r>
        <w:rPr>
          <w:lang w:eastAsia="ja-JP"/>
        </w:rPr>
        <w:t xml:space="preserve">hourly </w:t>
      </w:r>
      <w:r w:rsidRPr="00355922">
        <w:rPr>
          <w:lang w:eastAsia="ja-JP"/>
        </w:rPr>
        <w:t xml:space="preserve">rates </w:t>
      </w:r>
      <w:r>
        <w:rPr>
          <w:lang w:eastAsia="ja-JP"/>
        </w:rPr>
        <w:t>seek to better align the tasks performed by administrator</w:t>
      </w:r>
      <w:r w:rsidR="001F08AD">
        <w:rPr>
          <w:lang w:eastAsia="ja-JP"/>
        </w:rPr>
        <w:t>s</w:t>
      </w:r>
      <w:r>
        <w:rPr>
          <w:lang w:eastAsia="ja-JP"/>
        </w:rPr>
        <w:t xml:space="preserve"> with similar services provided in the business services sector (e.g., services provided by accountants, financial advisors).</w:t>
      </w:r>
    </w:p>
    <w:p w14:paraId="305D41B6" w14:textId="77777777" w:rsidR="00895D39" w:rsidRDefault="00895D39">
      <w:bookmarkStart w:id="70" w:name="_Hlk117145002"/>
      <w:r>
        <w:br w:type="page"/>
      </w:r>
    </w:p>
    <w:tbl>
      <w:tblPr>
        <w:tblStyle w:val="TableGrid"/>
        <w:tblW w:w="0" w:type="auto"/>
        <w:tblLook w:val="04A0" w:firstRow="1" w:lastRow="0" w:firstColumn="1" w:lastColumn="0" w:noHBand="0" w:noVBand="1"/>
      </w:tblPr>
      <w:tblGrid>
        <w:gridCol w:w="9010"/>
      </w:tblGrid>
      <w:tr w:rsidR="00AD1F8F" w:rsidRPr="004D16C6" w14:paraId="5A3D75FA" w14:textId="77777777" w:rsidTr="000C7053">
        <w:trPr>
          <w:cnfStyle w:val="100000000000" w:firstRow="1" w:lastRow="0" w:firstColumn="0" w:lastColumn="0" w:oddVBand="0" w:evenVBand="0" w:oddHBand="0" w:evenHBand="0" w:firstRowFirstColumn="0" w:firstRowLastColumn="0" w:lastRowFirstColumn="0" w:lastRowLastColumn="0"/>
        </w:trPr>
        <w:tc>
          <w:tcPr>
            <w:tcW w:w="9010" w:type="dxa"/>
          </w:tcPr>
          <w:p w14:paraId="6FF7F430" w14:textId="4BAFBFC8" w:rsidR="00AD1F8F" w:rsidRPr="007919B6" w:rsidRDefault="00AD1F8F" w:rsidP="007919B6">
            <w:pPr>
              <w:rPr>
                <w:b/>
                <w:bCs/>
                <w:lang w:eastAsia="ja-JP"/>
              </w:rPr>
            </w:pPr>
            <w:r w:rsidRPr="007919B6">
              <w:rPr>
                <w:b/>
                <w:bCs/>
                <w:lang w:eastAsia="ja-JP"/>
              </w:rPr>
              <w:lastRenderedPageBreak/>
              <w:t>How rates were determined</w:t>
            </w:r>
          </w:p>
          <w:p w14:paraId="3E66F09F" w14:textId="7F582560" w:rsidR="000949FD" w:rsidRDefault="0095308D" w:rsidP="00834D13">
            <w:pPr>
              <w:rPr>
                <w:lang w:eastAsia="ja-JP"/>
              </w:rPr>
            </w:pPr>
            <w:r w:rsidRPr="00A226AF">
              <w:rPr>
                <w:u w:val="single"/>
                <w:lang w:eastAsia="ja-JP"/>
              </w:rPr>
              <w:t>Complex</w:t>
            </w:r>
            <w:r w:rsidR="00AD1F8F" w:rsidRPr="00A226AF">
              <w:rPr>
                <w:u w:val="single"/>
                <w:lang w:eastAsia="ja-JP"/>
              </w:rPr>
              <w:t xml:space="preserve"> tasks</w:t>
            </w:r>
            <w:r w:rsidR="00AD1F8F" w:rsidRPr="00A226AF">
              <w:rPr>
                <w:lang w:eastAsia="ja-JP"/>
              </w:rPr>
              <w:t xml:space="preserve">: </w:t>
            </w:r>
            <w:r w:rsidR="00834D13">
              <w:rPr>
                <w:lang w:eastAsia="ja-JP"/>
              </w:rPr>
              <w:t>A desktop survey of commercial (hourly) charge</w:t>
            </w:r>
            <w:r w:rsidR="00004943">
              <w:rPr>
                <w:lang w:eastAsia="ja-JP"/>
              </w:rPr>
              <w:t>-</w:t>
            </w:r>
            <w:r w:rsidR="00834D13">
              <w:rPr>
                <w:lang w:eastAsia="ja-JP"/>
              </w:rPr>
              <w:t xml:space="preserve">out rates </w:t>
            </w:r>
            <w:r w:rsidR="002A03C3">
              <w:rPr>
                <w:lang w:eastAsia="ja-JP"/>
              </w:rPr>
              <w:t xml:space="preserve">of </w:t>
            </w:r>
            <w:r w:rsidR="00834D13">
              <w:rPr>
                <w:lang w:eastAsia="ja-JP"/>
              </w:rPr>
              <w:t>the accounting and financial advisor segments of the business services sector was conducted</w:t>
            </w:r>
            <w:r w:rsidR="000949FD" w:rsidRPr="00A226AF">
              <w:rPr>
                <w:lang w:eastAsia="ja-JP"/>
              </w:rPr>
              <w:t xml:space="preserve">. </w:t>
            </w:r>
            <w:r w:rsidR="008359CC" w:rsidRPr="00A226AF">
              <w:rPr>
                <w:lang w:eastAsia="ja-JP"/>
              </w:rPr>
              <w:t xml:space="preserve">A typical hourly </w:t>
            </w:r>
            <w:r w:rsidR="00834D13">
              <w:rPr>
                <w:lang w:eastAsia="ja-JP"/>
              </w:rPr>
              <w:t xml:space="preserve">charge </w:t>
            </w:r>
            <w:r w:rsidR="003C3CAB">
              <w:rPr>
                <w:lang w:eastAsia="ja-JP"/>
              </w:rPr>
              <w:t xml:space="preserve">out </w:t>
            </w:r>
            <w:r w:rsidR="008359CC" w:rsidRPr="00A226AF">
              <w:rPr>
                <w:lang w:eastAsia="ja-JP"/>
              </w:rPr>
              <w:t xml:space="preserve">rate </w:t>
            </w:r>
            <w:r w:rsidR="003C3CAB">
              <w:rPr>
                <w:lang w:eastAsia="ja-JP"/>
              </w:rPr>
              <w:t xml:space="preserve">of </w:t>
            </w:r>
            <w:r w:rsidR="008359CC" w:rsidRPr="00A226AF">
              <w:rPr>
                <w:lang w:eastAsia="ja-JP"/>
              </w:rPr>
              <w:t>member f</w:t>
            </w:r>
            <w:r w:rsidR="000949FD" w:rsidRPr="00A226AF">
              <w:rPr>
                <w:lang w:eastAsia="ja-JP"/>
              </w:rPr>
              <w:t xml:space="preserve">inancial services firms and accountants </w:t>
            </w:r>
            <w:r w:rsidR="008359CC" w:rsidRPr="00A226AF">
              <w:rPr>
                <w:lang w:eastAsia="ja-JP"/>
              </w:rPr>
              <w:t>is around $200-$350 for a senior accountant or senior financial advisor.</w:t>
            </w:r>
            <w:r w:rsidR="008359CC" w:rsidRPr="00A226AF">
              <w:rPr>
                <w:rStyle w:val="FootnoteReference"/>
                <w:lang w:eastAsia="ja-JP"/>
              </w:rPr>
              <w:footnoteReference w:id="15"/>
            </w:r>
          </w:p>
          <w:p w14:paraId="3B93F9C7" w14:textId="4228A8C0" w:rsidR="003E075F" w:rsidRPr="00A226AF" w:rsidRDefault="003E075F" w:rsidP="007919B6">
            <w:pPr>
              <w:rPr>
                <w:lang w:eastAsia="ja-JP"/>
              </w:rPr>
            </w:pPr>
            <w:r w:rsidRPr="00442E73">
              <w:rPr>
                <w:lang w:eastAsia="ja-JP"/>
              </w:rPr>
              <w:t xml:space="preserve">Principal </w:t>
            </w:r>
            <w:r w:rsidR="003F26A2" w:rsidRPr="00442E73">
              <w:rPr>
                <w:lang w:eastAsia="ja-JP"/>
              </w:rPr>
              <w:t>solicitors</w:t>
            </w:r>
            <w:r w:rsidRPr="00442E73">
              <w:rPr>
                <w:lang w:eastAsia="ja-JP"/>
              </w:rPr>
              <w:t xml:space="preserve"> who act as adm</w:t>
            </w:r>
            <w:r w:rsidR="003F26A2" w:rsidRPr="00442E73">
              <w:rPr>
                <w:lang w:eastAsia="ja-JP"/>
              </w:rPr>
              <w:t>inistrators</w:t>
            </w:r>
            <w:r w:rsidRPr="00442E73">
              <w:rPr>
                <w:lang w:eastAsia="ja-JP"/>
              </w:rPr>
              <w:t xml:space="preserve"> do not necessarily charge their </w:t>
            </w:r>
            <w:r w:rsidR="00371789" w:rsidRPr="00442E73">
              <w:rPr>
                <w:lang w:eastAsia="ja-JP"/>
              </w:rPr>
              <w:t xml:space="preserve">usual commercial rate when doing administration work, but are subject to the PRO. While </w:t>
            </w:r>
            <w:r w:rsidR="00BA0658" w:rsidRPr="00442E73">
              <w:rPr>
                <w:lang w:eastAsia="ja-JP"/>
              </w:rPr>
              <w:t xml:space="preserve">rates under the PRO vary and are often not based on time but on types of activities or length of documents, it is </w:t>
            </w:r>
            <w:r w:rsidRPr="00442E73">
              <w:rPr>
                <w:lang w:eastAsia="ja-JP"/>
              </w:rPr>
              <w:t>estimate</w:t>
            </w:r>
            <w:r w:rsidR="00BA0658" w:rsidRPr="00442E73">
              <w:rPr>
                <w:lang w:eastAsia="ja-JP"/>
              </w:rPr>
              <w:t>d</w:t>
            </w:r>
            <w:r w:rsidRPr="00442E73">
              <w:rPr>
                <w:lang w:eastAsia="ja-JP"/>
              </w:rPr>
              <w:t xml:space="preserve"> that converted to an hourly rate, the PRO would result in fees for so</w:t>
            </w:r>
            <w:r w:rsidR="00BA0658" w:rsidRPr="00442E73">
              <w:rPr>
                <w:lang w:eastAsia="ja-JP"/>
              </w:rPr>
              <w:t>m</w:t>
            </w:r>
            <w:r w:rsidRPr="00442E73">
              <w:rPr>
                <w:lang w:eastAsia="ja-JP"/>
              </w:rPr>
              <w:t>e of the more common admin</w:t>
            </w:r>
            <w:r w:rsidR="003F26A2" w:rsidRPr="00442E73">
              <w:rPr>
                <w:lang w:eastAsia="ja-JP"/>
              </w:rPr>
              <w:t>is</w:t>
            </w:r>
            <w:r w:rsidRPr="00442E73">
              <w:rPr>
                <w:lang w:eastAsia="ja-JP"/>
              </w:rPr>
              <w:t xml:space="preserve">trator tasks </w:t>
            </w:r>
            <w:r w:rsidR="00BA0658" w:rsidRPr="00442E73">
              <w:rPr>
                <w:lang w:eastAsia="ja-JP"/>
              </w:rPr>
              <w:t xml:space="preserve">usually performed by the </w:t>
            </w:r>
            <w:r w:rsidR="003F26A2" w:rsidRPr="00442E73">
              <w:rPr>
                <w:lang w:eastAsia="ja-JP"/>
              </w:rPr>
              <w:t>administrator</w:t>
            </w:r>
            <w:r w:rsidR="00BA0658" w:rsidRPr="00442E73">
              <w:rPr>
                <w:lang w:eastAsia="ja-JP"/>
              </w:rPr>
              <w:t xml:space="preserve"> personally </w:t>
            </w:r>
            <w:r w:rsidRPr="00442E73">
              <w:rPr>
                <w:lang w:eastAsia="ja-JP"/>
              </w:rPr>
              <w:t>of between $</w:t>
            </w:r>
            <w:r w:rsidR="00BA0658" w:rsidRPr="00442E73">
              <w:rPr>
                <w:lang w:eastAsia="ja-JP"/>
              </w:rPr>
              <w:t>250</w:t>
            </w:r>
            <w:r w:rsidRPr="00442E73">
              <w:rPr>
                <w:lang w:eastAsia="ja-JP"/>
              </w:rPr>
              <w:t xml:space="preserve"> and $</w:t>
            </w:r>
            <w:r w:rsidR="00BA0658" w:rsidRPr="00442E73">
              <w:rPr>
                <w:lang w:eastAsia="ja-JP"/>
              </w:rPr>
              <w:t>350</w:t>
            </w:r>
            <w:r w:rsidRPr="00442E73">
              <w:rPr>
                <w:lang w:eastAsia="ja-JP"/>
              </w:rPr>
              <w:t xml:space="preserve"> per hour</w:t>
            </w:r>
            <w:r w:rsidR="00BA0658">
              <w:rPr>
                <w:lang w:eastAsia="ja-JP"/>
              </w:rPr>
              <w:t xml:space="preserve">, depending on </w:t>
            </w:r>
            <w:r w:rsidR="003F26A2">
              <w:rPr>
                <w:lang w:eastAsia="ja-JP"/>
              </w:rPr>
              <w:t>their efficiency.</w:t>
            </w:r>
          </w:p>
          <w:p w14:paraId="7104BAD4" w14:textId="26A64899" w:rsidR="00AD1F8F" w:rsidRPr="00A226AF" w:rsidRDefault="0095308D" w:rsidP="007919B6">
            <w:pPr>
              <w:rPr>
                <w:lang w:eastAsia="ja-JP"/>
              </w:rPr>
            </w:pPr>
            <w:r w:rsidRPr="00A226AF">
              <w:rPr>
                <w:lang w:eastAsia="ja-JP"/>
              </w:rPr>
              <w:t xml:space="preserve">It therefore seems that a reasonable </w:t>
            </w:r>
            <w:r w:rsidR="007E1298" w:rsidRPr="00A226AF">
              <w:rPr>
                <w:lang w:eastAsia="ja-JP"/>
              </w:rPr>
              <w:t>rate</w:t>
            </w:r>
            <w:r w:rsidRPr="00A226AF">
              <w:rPr>
                <w:lang w:eastAsia="ja-JP"/>
              </w:rPr>
              <w:t xml:space="preserve"> for professional administrators to undertake more complex tasks is </w:t>
            </w:r>
            <w:r w:rsidRPr="007919B6">
              <w:t>$</w:t>
            </w:r>
            <w:r w:rsidR="00607CA1" w:rsidRPr="007919B6">
              <w:t>3</w:t>
            </w:r>
            <w:r w:rsidR="007E1298" w:rsidRPr="007919B6">
              <w:t>00</w:t>
            </w:r>
            <w:r w:rsidRPr="007919B6">
              <w:t xml:space="preserve"> per hour</w:t>
            </w:r>
            <w:r w:rsidRPr="00A226AF">
              <w:rPr>
                <w:lang w:eastAsia="ja-JP"/>
              </w:rPr>
              <w:t>.</w:t>
            </w:r>
          </w:p>
          <w:p w14:paraId="1E5FBF60" w14:textId="233F8DEF" w:rsidR="007E1298" w:rsidRPr="007919B6" w:rsidRDefault="0095308D" w:rsidP="007919B6">
            <w:pPr>
              <w:rPr>
                <w:b/>
                <w:bCs/>
                <w:lang w:eastAsia="ja-JP"/>
              </w:rPr>
            </w:pPr>
            <w:r w:rsidRPr="00A226AF">
              <w:rPr>
                <w:u w:val="single"/>
                <w:lang w:eastAsia="ja-JP"/>
              </w:rPr>
              <w:t>Routine a</w:t>
            </w:r>
            <w:r w:rsidR="00AD1F8F" w:rsidRPr="00A226AF">
              <w:rPr>
                <w:u w:val="single"/>
                <w:lang w:eastAsia="ja-JP"/>
              </w:rPr>
              <w:t>dministrative tasks</w:t>
            </w:r>
            <w:r w:rsidR="00AD1F8F" w:rsidRPr="00A226AF">
              <w:rPr>
                <w:lang w:eastAsia="ja-JP"/>
              </w:rPr>
              <w:t xml:space="preserve">: The ABS published rate for average weekly earnings </w:t>
            </w:r>
            <w:r w:rsidR="00834D13">
              <w:rPr>
                <w:lang w:eastAsia="ja-JP"/>
              </w:rPr>
              <w:t xml:space="preserve">in the </w:t>
            </w:r>
            <w:r w:rsidR="00834D13" w:rsidRPr="009F56B7">
              <w:rPr>
                <w:lang w:eastAsia="ja-JP"/>
              </w:rPr>
              <w:t xml:space="preserve">Financial and </w:t>
            </w:r>
            <w:r w:rsidR="00834D13">
              <w:rPr>
                <w:lang w:eastAsia="ja-JP"/>
              </w:rPr>
              <w:t>I</w:t>
            </w:r>
            <w:r w:rsidR="00834D13" w:rsidRPr="009F56B7">
              <w:rPr>
                <w:lang w:eastAsia="ja-JP"/>
              </w:rPr>
              <w:t xml:space="preserve">nsurance </w:t>
            </w:r>
            <w:r w:rsidR="00834D13">
              <w:rPr>
                <w:lang w:eastAsia="ja-JP"/>
              </w:rPr>
              <w:t>S</w:t>
            </w:r>
            <w:r w:rsidR="00834D13" w:rsidRPr="009F56B7">
              <w:rPr>
                <w:lang w:eastAsia="ja-JP"/>
              </w:rPr>
              <w:t>ervices sector</w:t>
            </w:r>
            <w:r w:rsidR="00AD1F8F" w:rsidRPr="00A226AF">
              <w:rPr>
                <w:rStyle w:val="FootnoteReference"/>
                <w:lang w:eastAsia="ja-JP"/>
              </w:rPr>
              <w:footnoteReference w:id="16"/>
            </w:r>
            <w:r w:rsidR="00AD1F8F" w:rsidRPr="00A226AF">
              <w:rPr>
                <w:lang w:eastAsia="ja-JP"/>
              </w:rPr>
              <w:t xml:space="preserve">, which after allowing for on costs and overheads, is equivalent to a cost of </w:t>
            </w:r>
            <w:r w:rsidR="00AD1F8F" w:rsidRPr="007919B6">
              <w:rPr>
                <w:lang w:eastAsia="ja-JP"/>
              </w:rPr>
              <w:t>$100 per hour</w:t>
            </w:r>
            <w:r w:rsidR="00AD1F8F" w:rsidRPr="00A226AF">
              <w:rPr>
                <w:lang w:eastAsia="ja-JP"/>
              </w:rPr>
              <w:t>.</w:t>
            </w:r>
            <w:r w:rsidR="00975659" w:rsidRPr="00A226AF">
              <w:rPr>
                <w:rStyle w:val="FootnoteReference"/>
                <w:lang w:eastAsia="ja-JP"/>
              </w:rPr>
              <w:footnoteReference w:id="17"/>
            </w:r>
          </w:p>
        </w:tc>
      </w:tr>
      <w:bookmarkEnd w:id="70"/>
    </w:tbl>
    <w:p w14:paraId="150D41FD" w14:textId="77777777" w:rsidR="00AD1F8F" w:rsidRDefault="00AD1F8F" w:rsidP="00AD1F8F">
      <w:pPr>
        <w:spacing w:after="120"/>
        <w:rPr>
          <w:lang w:eastAsia="ja-JP"/>
        </w:rPr>
      </w:pPr>
    </w:p>
    <w:p w14:paraId="6A4259F6" w14:textId="07A095E7" w:rsidR="00D349AB" w:rsidRPr="007919B6" w:rsidRDefault="00B30CDB" w:rsidP="00D349AB">
      <w:r w:rsidRPr="007919B6">
        <w:t xml:space="preserve">These rates should be linked to the </w:t>
      </w:r>
      <w:r w:rsidRPr="007919B6">
        <w:rPr>
          <w:i/>
        </w:rPr>
        <w:t>Monetary Units Act 2004</w:t>
      </w:r>
      <w:r w:rsidRPr="007919B6">
        <w:t xml:space="preserve"> so that the </w:t>
      </w:r>
      <w:r w:rsidR="00EB5678" w:rsidRPr="007919B6">
        <w:t xml:space="preserve">amounts automatically increase </w:t>
      </w:r>
      <w:r w:rsidR="00EB505C">
        <w:t>annually</w:t>
      </w:r>
      <w:r w:rsidR="00EB5678" w:rsidRPr="007919B6">
        <w:t xml:space="preserve"> in line with increasing costs of providing services, while also promoting efficiency</w:t>
      </w:r>
      <w:r w:rsidRPr="007919B6">
        <w:t>.</w:t>
      </w:r>
    </w:p>
    <w:p w14:paraId="7D54BB7B" w14:textId="213E2021" w:rsidR="003639C8" w:rsidRDefault="004F4E9D" w:rsidP="00246741">
      <w:pPr>
        <w:rPr>
          <w:lang w:eastAsia="ja-JP"/>
        </w:rPr>
      </w:pPr>
      <w:r>
        <w:rPr>
          <w:lang w:eastAsia="ja-JP"/>
        </w:rPr>
        <w:t xml:space="preserve">It was also apparent that under the PRO (or other </w:t>
      </w:r>
      <w:r w:rsidR="00FE3C40">
        <w:rPr>
          <w:lang w:eastAsia="ja-JP"/>
        </w:rPr>
        <w:t>arrangements</w:t>
      </w:r>
      <w:r>
        <w:rPr>
          <w:lang w:eastAsia="ja-JP"/>
        </w:rPr>
        <w:t xml:space="preserve"> where payment is based on hourly rates) excessive fees appear to</w:t>
      </w:r>
      <w:r w:rsidR="00130BCF">
        <w:rPr>
          <w:lang w:eastAsia="ja-JP"/>
        </w:rPr>
        <w:t xml:space="preserve"> relate to tasks of little actual value to the </w:t>
      </w:r>
      <w:r w:rsidR="00FE3C40">
        <w:rPr>
          <w:lang w:eastAsia="ja-JP"/>
        </w:rPr>
        <w:t>administration</w:t>
      </w:r>
      <w:r w:rsidR="00130BCF">
        <w:rPr>
          <w:lang w:eastAsia="ja-JP"/>
        </w:rPr>
        <w:t xml:space="preserve"> of</w:t>
      </w:r>
      <w:r w:rsidR="00AA651C">
        <w:rPr>
          <w:lang w:eastAsia="ja-JP"/>
        </w:rPr>
        <w:t xml:space="preserve"> an</w:t>
      </w:r>
      <w:r w:rsidR="00130BCF">
        <w:rPr>
          <w:lang w:eastAsia="ja-JP"/>
        </w:rPr>
        <w:t xml:space="preserve"> estate or the represented person. These include charging for the time involved in making appointments, charging for the time (or length of email) related to sending a document that has already been subject to a charge for its preparation, and the time in taking calls from a represented person that are not for the purpose of </w:t>
      </w:r>
      <w:r w:rsidR="00FE3C40">
        <w:rPr>
          <w:lang w:eastAsia="ja-JP"/>
        </w:rPr>
        <w:t>performing</w:t>
      </w:r>
      <w:r w:rsidR="00130BCF">
        <w:rPr>
          <w:lang w:eastAsia="ja-JP"/>
        </w:rPr>
        <w:t xml:space="preserve"> the functions of the administrator. These incidental type tasks (and others) should not be a source of remuneration for </w:t>
      </w:r>
      <w:r w:rsidR="00FE3C40">
        <w:rPr>
          <w:lang w:eastAsia="ja-JP"/>
        </w:rPr>
        <w:t>administrators</w:t>
      </w:r>
      <w:r w:rsidR="00130BCF">
        <w:rPr>
          <w:lang w:eastAsia="ja-JP"/>
        </w:rPr>
        <w:t xml:space="preserve">, but seen as </w:t>
      </w:r>
      <w:r w:rsidR="00FE3C40">
        <w:rPr>
          <w:lang w:eastAsia="ja-JP"/>
        </w:rPr>
        <w:t>ancillary</w:t>
      </w:r>
      <w:r w:rsidR="00130BCF">
        <w:rPr>
          <w:lang w:eastAsia="ja-JP"/>
        </w:rPr>
        <w:t>, which they can choose how they manage, but are ultimately recompensed via the rates charged for the more substantive tasks.</w:t>
      </w:r>
    </w:p>
    <w:p w14:paraId="57792511" w14:textId="6BF7DA9D" w:rsidR="0024194A" w:rsidRDefault="00016F4B" w:rsidP="00246741">
      <w:pPr>
        <w:rPr>
          <w:lang w:eastAsia="ja-JP"/>
        </w:rPr>
      </w:pPr>
      <w:r>
        <w:rPr>
          <w:lang w:eastAsia="ja-JP"/>
        </w:rPr>
        <w:t xml:space="preserve">Consistent with the pricing principles discussed above, these </w:t>
      </w:r>
      <w:r w:rsidR="000B3330">
        <w:rPr>
          <w:lang w:eastAsia="ja-JP"/>
        </w:rPr>
        <w:t>hourly</w:t>
      </w:r>
      <w:r w:rsidR="0017719B">
        <w:rPr>
          <w:lang w:eastAsia="ja-JP"/>
        </w:rPr>
        <w:t xml:space="preserve"> rates would only apply to the tasks that make up the core work of administration of an estate—those tasks that will be common across most or all administrators.</w:t>
      </w:r>
      <w:r w:rsidR="00CB7558">
        <w:rPr>
          <w:lang w:eastAsia="ja-JP"/>
        </w:rPr>
        <w:t xml:space="preserve"> Services provided outside of this</w:t>
      </w:r>
      <w:r w:rsidR="00B70984">
        <w:rPr>
          <w:lang w:eastAsia="ja-JP"/>
        </w:rPr>
        <w:t xml:space="preserve"> would not be subject to the same rates (or caps discussed below)</w:t>
      </w:r>
      <w:r w:rsidR="00596F03">
        <w:rPr>
          <w:lang w:eastAsia="ja-JP"/>
        </w:rPr>
        <w:t>, and would reflect the type of additional service being provided</w:t>
      </w:r>
      <w:r w:rsidR="00B70984">
        <w:rPr>
          <w:lang w:eastAsia="ja-JP"/>
        </w:rPr>
        <w:t>.</w:t>
      </w:r>
    </w:p>
    <w:p w14:paraId="2FE211A5" w14:textId="25D9E0BE" w:rsidR="0024194A" w:rsidRDefault="00947A36" w:rsidP="0024194A">
      <w:pPr>
        <w:rPr>
          <w:lang w:eastAsia="ja-JP"/>
        </w:rPr>
      </w:pPr>
      <w:r>
        <w:rPr>
          <w:lang w:eastAsia="ja-JP"/>
        </w:rPr>
        <w:lastRenderedPageBreak/>
        <w:t>For example, t</w:t>
      </w:r>
      <w:r w:rsidR="0004232A">
        <w:rPr>
          <w:lang w:eastAsia="ja-JP"/>
        </w:rPr>
        <w:t xml:space="preserve">asks or services provided by the administrator or their staff that are genuine legal services or advice—these are services that an administrator who is not a lawyer would usually be expected to seek independent legal advice on: for example, drafting legal documents such as contracts or wills, reviewing contracts where it would be usual to seek legal advice before signing, or interpreting legal requirements. For these tasks, the administrator is entitled to payment on the scale set out in the </w:t>
      </w:r>
      <w:r w:rsidR="00350C6F">
        <w:rPr>
          <w:lang w:eastAsia="ja-JP"/>
        </w:rPr>
        <w:t>PRO</w:t>
      </w:r>
      <w:r w:rsidR="0004232A">
        <w:rPr>
          <w:lang w:eastAsia="ja-JP"/>
        </w:rPr>
        <w:t>.</w:t>
      </w:r>
      <w:r w:rsidR="007F3A71">
        <w:rPr>
          <w:rStyle w:val="FootnoteReference"/>
          <w:lang w:eastAsia="ja-JP"/>
        </w:rPr>
        <w:footnoteReference w:id="18"/>
      </w:r>
      <w:r w:rsidR="00896F09">
        <w:rPr>
          <w:lang w:eastAsia="ja-JP"/>
        </w:rPr>
        <w:t xml:space="preserve"> </w:t>
      </w:r>
      <w:r w:rsidR="0004232A">
        <w:rPr>
          <w:lang w:eastAsia="ja-JP"/>
        </w:rPr>
        <w:t>For accounting/financial management firms, the scale does not apply to fees that may be charged for providing financial advice of a type that requires a licence</w:t>
      </w:r>
      <w:r w:rsidR="00896F09">
        <w:rPr>
          <w:lang w:eastAsia="ja-JP"/>
        </w:rPr>
        <w:t>. This is to provide consistency, whereby i</w:t>
      </w:r>
      <w:r w:rsidR="0024194A">
        <w:rPr>
          <w:lang w:eastAsia="ja-JP"/>
        </w:rPr>
        <w:t>f a professional administrator was, for example, an accountant and the need arose to obtain legal advice, the administrator would engage a legal practitioner</w:t>
      </w:r>
      <w:r w:rsidR="00BE4E2C">
        <w:rPr>
          <w:lang w:eastAsia="ja-JP"/>
        </w:rPr>
        <w:t xml:space="preserve"> outside of any remuneration scale</w:t>
      </w:r>
      <w:r w:rsidR="0024194A">
        <w:rPr>
          <w:lang w:eastAsia="ja-JP"/>
        </w:rPr>
        <w:t>. Alternatively, a professional administrator who is a legal practitioner may engage a financial advisor if specialist financial advice is required.</w:t>
      </w:r>
    </w:p>
    <w:p w14:paraId="495C8458" w14:textId="77777777" w:rsidR="007C26FC" w:rsidRDefault="007C26FC" w:rsidP="007C26FC">
      <w:pPr>
        <w:pStyle w:val="Heading2"/>
        <w:rPr>
          <w:lang w:eastAsia="ja-JP"/>
        </w:rPr>
      </w:pPr>
      <w:bookmarkStart w:id="71" w:name="_Toc117064508"/>
      <w:bookmarkStart w:id="72" w:name="_Toc115704194"/>
      <w:bookmarkStart w:id="73" w:name="_Toc124917437"/>
      <w:r>
        <w:rPr>
          <w:lang w:eastAsia="ja-JP"/>
        </w:rPr>
        <w:t>Fee caps</w:t>
      </w:r>
      <w:bookmarkEnd w:id="71"/>
      <w:bookmarkEnd w:id="72"/>
      <w:bookmarkEnd w:id="73"/>
    </w:p>
    <w:p w14:paraId="7D4E0A18" w14:textId="328F93C5" w:rsidR="007C26FC" w:rsidRDefault="007C26FC" w:rsidP="007C26FC">
      <w:pPr>
        <w:rPr>
          <w:lang w:eastAsia="ja-JP"/>
        </w:rPr>
      </w:pPr>
      <w:r w:rsidRPr="00E73710">
        <w:rPr>
          <w:lang w:eastAsia="ja-JP"/>
        </w:rPr>
        <w:t>Caps on fees</w:t>
      </w:r>
      <w:r>
        <w:rPr>
          <w:lang w:eastAsia="ja-JP"/>
        </w:rPr>
        <w:t xml:space="preserve"> </w:t>
      </w:r>
      <w:r w:rsidR="002A03C3">
        <w:rPr>
          <w:lang w:eastAsia="ja-JP"/>
        </w:rPr>
        <w:t xml:space="preserve">are </w:t>
      </w:r>
      <w:r>
        <w:rPr>
          <w:lang w:eastAsia="ja-JP"/>
        </w:rPr>
        <w:t xml:space="preserve">a useful mechanism to ensure that charges to a represented person </w:t>
      </w:r>
      <w:r w:rsidR="007717F8">
        <w:rPr>
          <w:lang w:eastAsia="ja-JP"/>
        </w:rPr>
        <w:t>are</w:t>
      </w:r>
      <w:r w:rsidR="00BD1F3B">
        <w:rPr>
          <w:lang w:eastAsia="ja-JP"/>
        </w:rPr>
        <w:t xml:space="preserve"> limited to a</w:t>
      </w:r>
      <w:r>
        <w:rPr>
          <w:lang w:eastAsia="ja-JP"/>
        </w:rPr>
        <w:t xml:space="preserve"> </w:t>
      </w:r>
      <w:r w:rsidR="00787606">
        <w:rPr>
          <w:lang w:eastAsia="ja-JP"/>
        </w:rPr>
        <w:t>predictable</w:t>
      </w:r>
      <w:r>
        <w:rPr>
          <w:lang w:eastAsia="ja-JP"/>
        </w:rPr>
        <w:t xml:space="preserve"> (maximum) level</w:t>
      </w:r>
      <w:r w:rsidR="00357675">
        <w:rPr>
          <w:lang w:eastAsia="ja-JP"/>
        </w:rPr>
        <w:t xml:space="preserve">, and that represented persons with limited ability or capacity to pay high fees are protected (e.g., </w:t>
      </w:r>
      <w:r w:rsidR="0019212B">
        <w:rPr>
          <w:lang w:eastAsia="ja-JP"/>
        </w:rPr>
        <w:t>no income-producing assets</w:t>
      </w:r>
      <w:r w:rsidR="007646D6">
        <w:rPr>
          <w:lang w:eastAsia="ja-JP"/>
        </w:rPr>
        <w:t>)</w:t>
      </w:r>
      <w:r>
        <w:rPr>
          <w:lang w:eastAsia="ja-JP"/>
        </w:rPr>
        <w:t>.</w:t>
      </w:r>
      <w:r w:rsidRPr="00E73710">
        <w:rPr>
          <w:lang w:eastAsia="ja-JP"/>
        </w:rPr>
        <w:t xml:space="preserve"> </w:t>
      </w:r>
      <w:r>
        <w:rPr>
          <w:lang w:eastAsia="ja-JP"/>
        </w:rPr>
        <w:t>VCAT currently uses fee caps in a range of orders it makes.</w:t>
      </w:r>
    </w:p>
    <w:p w14:paraId="738E9603" w14:textId="11238305" w:rsidR="007646D6" w:rsidRDefault="002423D5" w:rsidP="00246741">
      <w:pPr>
        <w:rPr>
          <w:lang w:eastAsia="ja-JP"/>
        </w:rPr>
      </w:pPr>
      <w:r>
        <w:rPr>
          <w:lang w:eastAsia="ja-JP"/>
        </w:rPr>
        <w:t>Fee caps, particularly for those represented person</w:t>
      </w:r>
      <w:r w:rsidR="00E86628">
        <w:rPr>
          <w:lang w:eastAsia="ja-JP"/>
        </w:rPr>
        <w:t>s</w:t>
      </w:r>
      <w:r>
        <w:rPr>
          <w:lang w:eastAsia="ja-JP"/>
        </w:rPr>
        <w:t xml:space="preserve"> that have limited </w:t>
      </w:r>
      <w:r w:rsidR="001327ED">
        <w:rPr>
          <w:lang w:eastAsia="ja-JP"/>
        </w:rPr>
        <w:t>ability</w:t>
      </w:r>
      <w:r>
        <w:rPr>
          <w:lang w:eastAsia="ja-JP"/>
        </w:rPr>
        <w:t xml:space="preserve"> to pay fees</w:t>
      </w:r>
      <w:r w:rsidR="00AE029E">
        <w:rPr>
          <w:lang w:eastAsia="ja-JP"/>
        </w:rPr>
        <w:t xml:space="preserve">, are an optional element of the proposed remuneration scale, and </w:t>
      </w:r>
      <w:r w:rsidR="001327ED">
        <w:rPr>
          <w:lang w:eastAsia="ja-JP"/>
        </w:rPr>
        <w:t>further</w:t>
      </w:r>
      <w:r w:rsidR="00AE029E">
        <w:rPr>
          <w:lang w:eastAsia="ja-JP"/>
        </w:rPr>
        <w:t xml:space="preserve"> stakeholder feedback is invited on whether these should be included (see suggested </w:t>
      </w:r>
      <w:r w:rsidR="005E0653">
        <w:rPr>
          <w:lang w:eastAsia="ja-JP"/>
        </w:rPr>
        <w:t xml:space="preserve">approach in the next section). There may be some leeway in how fee caps are used—e.g., setting a </w:t>
      </w:r>
      <w:r w:rsidR="0026493F">
        <w:rPr>
          <w:lang w:eastAsia="ja-JP"/>
        </w:rPr>
        <w:t xml:space="preserve">strong cap on total fees may allow the hourly rate mentioned above to be set at a higher level, while </w:t>
      </w:r>
      <w:r w:rsidR="008D6D4C">
        <w:rPr>
          <w:lang w:eastAsia="ja-JP"/>
        </w:rPr>
        <w:t xml:space="preserve">a higher cap or </w:t>
      </w:r>
      <w:r w:rsidR="0026493F">
        <w:rPr>
          <w:lang w:eastAsia="ja-JP"/>
        </w:rPr>
        <w:t xml:space="preserve">the absence of any </w:t>
      </w:r>
      <w:r w:rsidR="00D5506E">
        <w:rPr>
          <w:lang w:eastAsia="ja-JP"/>
        </w:rPr>
        <w:t>cap on fee</w:t>
      </w:r>
      <w:r w:rsidR="001B2F58">
        <w:rPr>
          <w:lang w:eastAsia="ja-JP"/>
        </w:rPr>
        <w:t>s</w:t>
      </w:r>
      <w:r w:rsidR="00D5506E">
        <w:rPr>
          <w:lang w:eastAsia="ja-JP"/>
        </w:rPr>
        <w:t xml:space="preserve"> may warrant the hourly rate to be set at a lower </w:t>
      </w:r>
      <w:r w:rsidR="001B71D2">
        <w:rPr>
          <w:lang w:eastAsia="ja-JP"/>
        </w:rPr>
        <w:t xml:space="preserve">amount (such as </w:t>
      </w:r>
      <w:r w:rsidR="00D5506E">
        <w:rPr>
          <w:lang w:eastAsia="ja-JP"/>
        </w:rPr>
        <w:t>$</w:t>
      </w:r>
      <w:r w:rsidR="00AE3C96">
        <w:rPr>
          <w:lang w:eastAsia="ja-JP"/>
        </w:rPr>
        <w:t>25</w:t>
      </w:r>
      <w:r w:rsidR="00D5506E">
        <w:rPr>
          <w:lang w:eastAsia="ja-JP"/>
        </w:rPr>
        <w:t>0 per hour</w:t>
      </w:r>
      <w:r w:rsidR="001B71D2">
        <w:rPr>
          <w:lang w:eastAsia="ja-JP"/>
        </w:rPr>
        <w:t>)</w:t>
      </w:r>
      <w:r w:rsidR="00D5506E">
        <w:rPr>
          <w:lang w:eastAsia="ja-JP"/>
        </w:rPr>
        <w:t xml:space="preserve"> to provide </w:t>
      </w:r>
      <w:r w:rsidR="00255E93">
        <w:rPr>
          <w:lang w:eastAsia="ja-JP"/>
        </w:rPr>
        <w:t xml:space="preserve">greater confidence that </w:t>
      </w:r>
      <w:r w:rsidR="001327ED">
        <w:rPr>
          <w:lang w:eastAsia="ja-JP"/>
        </w:rPr>
        <w:t>fees are not excessive in aggregate.</w:t>
      </w:r>
    </w:p>
    <w:p w14:paraId="68ECDFAA" w14:textId="5AEA5092" w:rsidR="009F54DC" w:rsidRDefault="009F54DC" w:rsidP="007646D6">
      <w:pPr>
        <w:rPr>
          <w:lang w:eastAsia="ja-JP"/>
        </w:rPr>
      </w:pPr>
      <w:r>
        <w:rPr>
          <w:lang w:eastAsia="ja-JP"/>
        </w:rPr>
        <w:t xml:space="preserve">The fee caps suggested </w:t>
      </w:r>
      <w:r w:rsidR="00D7555D">
        <w:rPr>
          <w:lang w:eastAsia="ja-JP"/>
        </w:rPr>
        <w:t xml:space="preserve">in the next section </w:t>
      </w:r>
      <w:r>
        <w:rPr>
          <w:lang w:eastAsia="ja-JP"/>
        </w:rPr>
        <w:t xml:space="preserve">are based on </w:t>
      </w:r>
      <w:r w:rsidR="00D7555D">
        <w:rPr>
          <w:lang w:eastAsia="ja-JP"/>
        </w:rPr>
        <w:t>ensuring that the core tasks</w:t>
      </w:r>
      <w:r w:rsidR="00412673">
        <w:rPr>
          <w:lang w:eastAsia="ja-JP"/>
        </w:rPr>
        <w:t xml:space="preserve"> of an </w:t>
      </w:r>
      <w:r w:rsidR="00E61468">
        <w:rPr>
          <w:lang w:eastAsia="ja-JP"/>
        </w:rPr>
        <w:t>administrator</w:t>
      </w:r>
      <w:r w:rsidR="00412673">
        <w:rPr>
          <w:lang w:eastAsia="ja-JP"/>
        </w:rPr>
        <w:t xml:space="preserve"> can be performed, to sufficient quality, to meet the </w:t>
      </w:r>
      <w:r w:rsidR="003807D5">
        <w:rPr>
          <w:lang w:eastAsia="ja-JP"/>
        </w:rPr>
        <w:t>administrator</w:t>
      </w:r>
      <w:r w:rsidR="006A4388">
        <w:rPr>
          <w:lang w:eastAsia="ja-JP"/>
        </w:rPr>
        <w:t>’</w:t>
      </w:r>
      <w:r w:rsidR="003807D5">
        <w:rPr>
          <w:lang w:eastAsia="ja-JP"/>
        </w:rPr>
        <w:t>s</w:t>
      </w:r>
      <w:r w:rsidR="00412673">
        <w:rPr>
          <w:lang w:eastAsia="ja-JP"/>
        </w:rPr>
        <w:t xml:space="preserve"> duties under the Act</w:t>
      </w:r>
      <w:r w:rsidR="007D373C">
        <w:rPr>
          <w:lang w:eastAsia="ja-JP"/>
        </w:rPr>
        <w:t>, while recognising that many represented persons have limited capacity to pay fees, par</w:t>
      </w:r>
      <w:r w:rsidR="003807D5">
        <w:rPr>
          <w:lang w:eastAsia="ja-JP"/>
        </w:rPr>
        <w:t>ticularly</w:t>
      </w:r>
      <w:r w:rsidR="007D373C">
        <w:rPr>
          <w:lang w:eastAsia="ja-JP"/>
        </w:rPr>
        <w:t xml:space="preserve"> where there are few assets (other than t</w:t>
      </w:r>
      <w:r w:rsidR="00023DBF">
        <w:rPr>
          <w:lang w:eastAsia="ja-JP"/>
        </w:rPr>
        <w:t xml:space="preserve">heir home) or income (other than a pension). Of course, some </w:t>
      </w:r>
      <w:r w:rsidR="001335A3">
        <w:rPr>
          <w:lang w:eastAsia="ja-JP"/>
        </w:rPr>
        <w:t xml:space="preserve">fees would be outside the cap (such as where </w:t>
      </w:r>
      <w:r w:rsidR="009B54F0">
        <w:rPr>
          <w:lang w:eastAsia="ja-JP"/>
        </w:rPr>
        <w:t xml:space="preserve">the </w:t>
      </w:r>
      <w:r w:rsidR="00E61468">
        <w:rPr>
          <w:lang w:eastAsia="ja-JP"/>
        </w:rPr>
        <w:t>administrator</w:t>
      </w:r>
      <w:r w:rsidR="009B54F0">
        <w:rPr>
          <w:lang w:eastAsia="ja-JP"/>
        </w:rPr>
        <w:t xml:space="preserve"> carries on the represented person’s business), and would also not apply to fees that are </w:t>
      </w:r>
      <w:r w:rsidR="00E61468">
        <w:rPr>
          <w:lang w:eastAsia="ja-JP"/>
        </w:rPr>
        <w:t>outside the scale (such as fees for legal services).</w:t>
      </w:r>
    </w:p>
    <w:p w14:paraId="35E62AAA" w14:textId="03413588" w:rsidR="007C26FC" w:rsidRDefault="007C26FC" w:rsidP="007C26FC">
      <w:pPr>
        <w:rPr>
          <w:lang w:eastAsia="ja-JP"/>
        </w:rPr>
      </w:pPr>
      <w:r>
        <w:rPr>
          <w:lang w:eastAsia="ja-JP"/>
        </w:rPr>
        <w:t xml:space="preserve">In any such system of fee caps there would need to be a mechanism whereby a service provider could apply to VCAT to set charges higher than the cap. This would be relevant for </w:t>
      </w:r>
      <w:r w:rsidR="00917622">
        <w:rPr>
          <w:lang w:eastAsia="ja-JP"/>
        </w:rPr>
        <w:t xml:space="preserve">dealing with </w:t>
      </w:r>
      <w:r>
        <w:rPr>
          <w:lang w:eastAsia="ja-JP"/>
        </w:rPr>
        <w:t xml:space="preserve">complex estates, high value estates, or dealing with </w:t>
      </w:r>
      <w:r w:rsidR="00917622">
        <w:rPr>
          <w:lang w:eastAsia="ja-JP"/>
        </w:rPr>
        <w:t xml:space="preserve">legal </w:t>
      </w:r>
      <w:r>
        <w:rPr>
          <w:lang w:eastAsia="ja-JP"/>
        </w:rPr>
        <w:t xml:space="preserve">disputes or other </w:t>
      </w:r>
      <w:r w:rsidR="00BD1F3B">
        <w:rPr>
          <w:lang w:eastAsia="ja-JP"/>
        </w:rPr>
        <w:t>time</w:t>
      </w:r>
      <w:r w:rsidR="001B71D2">
        <w:rPr>
          <w:lang w:eastAsia="ja-JP"/>
        </w:rPr>
        <w:t>-</w:t>
      </w:r>
      <w:r>
        <w:rPr>
          <w:lang w:eastAsia="ja-JP"/>
        </w:rPr>
        <w:t>consuming matters.</w:t>
      </w:r>
      <w:r w:rsidR="00552A71">
        <w:rPr>
          <w:lang w:eastAsia="ja-JP"/>
        </w:rPr>
        <w:t xml:space="preserve"> It may be that individual adm</w:t>
      </w:r>
      <w:r w:rsidR="00F1191B">
        <w:rPr>
          <w:lang w:eastAsia="ja-JP"/>
        </w:rPr>
        <w:t>inistrators</w:t>
      </w:r>
      <w:r w:rsidR="00552A71">
        <w:rPr>
          <w:lang w:eastAsia="ja-JP"/>
        </w:rPr>
        <w:t xml:space="preserve"> may propose </w:t>
      </w:r>
      <w:r w:rsidR="004C0DE8">
        <w:rPr>
          <w:lang w:eastAsia="ja-JP"/>
        </w:rPr>
        <w:t>alternative</w:t>
      </w:r>
      <w:r w:rsidR="00552A71">
        <w:rPr>
          <w:lang w:eastAsia="ja-JP"/>
        </w:rPr>
        <w:t xml:space="preserve"> approaches to safeguard the </w:t>
      </w:r>
      <w:r w:rsidR="005039A1">
        <w:rPr>
          <w:lang w:eastAsia="ja-JP"/>
        </w:rPr>
        <w:t>income available to represented persons; for example</w:t>
      </w:r>
      <w:r w:rsidR="0065780B">
        <w:rPr>
          <w:lang w:eastAsia="ja-JP"/>
        </w:rPr>
        <w:t>,</w:t>
      </w:r>
      <w:r w:rsidR="005039A1">
        <w:rPr>
          <w:lang w:eastAsia="ja-JP"/>
        </w:rPr>
        <w:t xml:space="preserve"> </w:t>
      </w:r>
      <w:r w:rsidR="00F1191B">
        <w:rPr>
          <w:lang w:eastAsia="ja-JP"/>
        </w:rPr>
        <w:t>fee caps could be waived where the adm</w:t>
      </w:r>
      <w:r w:rsidR="004C0DE8">
        <w:rPr>
          <w:lang w:eastAsia="ja-JP"/>
        </w:rPr>
        <w:t>inistrator</w:t>
      </w:r>
      <w:r w:rsidR="00F1191B">
        <w:rPr>
          <w:lang w:eastAsia="ja-JP"/>
        </w:rPr>
        <w:t xml:space="preserve"> agrees that their fees above the cap will only be paid </w:t>
      </w:r>
      <w:r w:rsidR="004C0DE8">
        <w:rPr>
          <w:lang w:eastAsia="ja-JP"/>
        </w:rPr>
        <w:t>after some future event (such as sale of assets, which may be after the administrat</w:t>
      </w:r>
      <w:r w:rsidR="006A4388">
        <w:rPr>
          <w:lang w:eastAsia="ja-JP"/>
        </w:rPr>
        <w:t>ion</w:t>
      </w:r>
      <w:r w:rsidR="004C0DE8">
        <w:rPr>
          <w:lang w:eastAsia="ja-JP"/>
        </w:rPr>
        <w:t xml:space="preserve"> order has ended).</w:t>
      </w:r>
    </w:p>
    <w:p w14:paraId="757F9757" w14:textId="686C537D" w:rsidR="00074A09" w:rsidRDefault="007C26FC" w:rsidP="00246741">
      <w:pPr>
        <w:rPr>
          <w:lang w:eastAsia="ja-JP"/>
        </w:rPr>
      </w:pPr>
      <w:r>
        <w:rPr>
          <w:lang w:eastAsia="ja-JP"/>
        </w:rPr>
        <w:t>The intended purpose of a fee cap is to keep robust controls over excessive fees, and</w:t>
      </w:r>
      <w:r w:rsidR="001B2F58">
        <w:rPr>
          <w:lang w:eastAsia="ja-JP"/>
        </w:rPr>
        <w:t xml:space="preserve"> the cap</w:t>
      </w:r>
      <w:r>
        <w:rPr>
          <w:lang w:eastAsia="ja-JP"/>
        </w:rPr>
        <w:t xml:space="preserve"> can be varied or waived if there is a clear reason to do so.</w:t>
      </w:r>
    </w:p>
    <w:p w14:paraId="7DA7D23D" w14:textId="5C0D61B9" w:rsidR="00074A09" w:rsidRDefault="00074A09" w:rsidP="003A673A">
      <w:pPr>
        <w:pStyle w:val="Heading2"/>
        <w:rPr>
          <w:lang w:eastAsia="ja-JP"/>
        </w:rPr>
      </w:pPr>
      <w:bookmarkStart w:id="74" w:name="_Toc124917438"/>
      <w:r>
        <w:rPr>
          <w:lang w:eastAsia="ja-JP"/>
        </w:rPr>
        <w:lastRenderedPageBreak/>
        <w:t xml:space="preserve">Overall assessment of proposed </w:t>
      </w:r>
      <w:r w:rsidR="00E2381E">
        <w:rPr>
          <w:lang w:eastAsia="ja-JP"/>
        </w:rPr>
        <w:t>remuneration</w:t>
      </w:r>
      <w:r>
        <w:rPr>
          <w:lang w:eastAsia="ja-JP"/>
        </w:rPr>
        <w:t xml:space="preserve"> scale</w:t>
      </w:r>
      <w:bookmarkEnd w:id="74"/>
    </w:p>
    <w:p w14:paraId="1C3779E7" w14:textId="330D16BD" w:rsidR="0052666A" w:rsidRDefault="0052666A" w:rsidP="00246741">
      <w:pPr>
        <w:rPr>
          <w:lang w:eastAsia="ja-JP"/>
        </w:rPr>
      </w:pPr>
      <w:r>
        <w:rPr>
          <w:lang w:eastAsia="ja-JP"/>
        </w:rPr>
        <w:t xml:space="preserve">Earlier in this chapter (see section 3.1), a number of remuneration principles were put forward. These principles are reformulated in the </w:t>
      </w:r>
      <w:r w:rsidR="00CA2E3D">
        <w:rPr>
          <w:lang w:eastAsia="ja-JP"/>
        </w:rPr>
        <w:t xml:space="preserve">table </w:t>
      </w:r>
      <w:r>
        <w:rPr>
          <w:lang w:eastAsia="ja-JP"/>
        </w:rPr>
        <w:t>below to provide a set of criteria against which the proposed remuneration scale can b</w:t>
      </w:r>
      <w:r w:rsidR="004C6E63">
        <w:rPr>
          <w:lang w:eastAsia="ja-JP"/>
        </w:rPr>
        <w:t>e</w:t>
      </w:r>
      <w:r>
        <w:rPr>
          <w:lang w:eastAsia="ja-JP"/>
        </w:rPr>
        <w:t xml:space="preserve"> </w:t>
      </w:r>
      <w:r w:rsidR="003C3362">
        <w:rPr>
          <w:lang w:eastAsia="ja-JP"/>
        </w:rPr>
        <w:t>examined</w:t>
      </w:r>
      <w:r>
        <w:rPr>
          <w:lang w:eastAsia="ja-JP"/>
        </w:rPr>
        <w:t>.</w:t>
      </w:r>
    </w:p>
    <w:p w14:paraId="2CB9441E" w14:textId="14BE9B9C" w:rsidR="00CA2E3D" w:rsidRDefault="00CA2E3D" w:rsidP="00CA2E3D">
      <w:pPr>
        <w:rPr>
          <w:lang w:eastAsia="ja-JP"/>
        </w:rPr>
      </w:pPr>
      <w:r>
        <w:rPr>
          <w:lang w:eastAsia="ja-JP"/>
        </w:rPr>
        <w:t xml:space="preserve">The proposed arrangements are considered superior to the current arrangements against all criteria. In other words, the proposed remuneration scale should address the problems </w:t>
      </w:r>
      <w:r w:rsidR="004C6E63">
        <w:rPr>
          <w:lang w:eastAsia="ja-JP"/>
        </w:rPr>
        <w:t>with the current arrangements by</w:t>
      </w:r>
      <w:r>
        <w:rPr>
          <w:lang w:eastAsia="ja-JP"/>
        </w:rPr>
        <w:t>:</w:t>
      </w:r>
    </w:p>
    <w:p w14:paraId="5A76ED7E" w14:textId="446C4B28" w:rsidR="00CA2E3D" w:rsidRDefault="00CA2E3D" w:rsidP="00CA2E3D">
      <w:pPr>
        <w:pStyle w:val="ListParagraph"/>
        <w:numPr>
          <w:ilvl w:val="0"/>
          <w:numId w:val="13"/>
        </w:numPr>
        <w:rPr>
          <w:lang w:eastAsia="ja-JP"/>
        </w:rPr>
      </w:pPr>
      <w:r>
        <w:t>balanc</w:t>
      </w:r>
      <w:r w:rsidR="004C6E63">
        <w:t>ing</w:t>
      </w:r>
      <w:r>
        <w:t xml:space="preserve"> </w:t>
      </w:r>
      <w:r>
        <w:rPr>
          <w:lang w:eastAsia="ja-JP"/>
        </w:rPr>
        <w:t xml:space="preserve">the best interests and needs of represented persons with fair remuneration for </w:t>
      </w:r>
      <w:r w:rsidRPr="009D16A5">
        <w:rPr>
          <w:lang w:eastAsia="ja-JP"/>
        </w:rPr>
        <w:t>administrators</w:t>
      </w:r>
    </w:p>
    <w:p w14:paraId="2501A063" w14:textId="4F70CDC1" w:rsidR="00CA2E3D" w:rsidRDefault="00CA2E3D" w:rsidP="00CA2E3D">
      <w:pPr>
        <w:pStyle w:val="ListParagraph"/>
        <w:numPr>
          <w:ilvl w:val="0"/>
          <w:numId w:val="13"/>
        </w:numPr>
        <w:rPr>
          <w:lang w:eastAsia="ja-JP"/>
        </w:rPr>
      </w:pPr>
      <w:r>
        <w:rPr>
          <w:lang w:eastAsia="ja-JP"/>
        </w:rPr>
        <w:t>provid</w:t>
      </w:r>
      <w:r w:rsidR="004C6E63">
        <w:rPr>
          <w:lang w:eastAsia="ja-JP"/>
        </w:rPr>
        <w:t>ing</w:t>
      </w:r>
      <w:r>
        <w:rPr>
          <w:lang w:eastAsia="ja-JP"/>
        </w:rPr>
        <w:t xml:space="preserve"> </w:t>
      </w:r>
      <w:r w:rsidR="003C3362">
        <w:rPr>
          <w:lang w:eastAsia="ja-JP"/>
        </w:rPr>
        <w:t xml:space="preserve">a </w:t>
      </w:r>
      <w:r>
        <w:rPr>
          <w:lang w:eastAsia="ja-JP"/>
        </w:rPr>
        <w:t>simpler</w:t>
      </w:r>
      <w:r w:rsidR="004C6E63">
        <w:rPr>
          <w:lang w:eastAsia="ja-JP"/>
        </w:rPr>
        <w:t xml:space="preserve">, more cost effective </w:t>
      </w:r>
      <w:r w:rsidR="003C3362">
        <w:rPr>
          <w:lang w:eastAsia="ja-JP"/>
        </w:rPr>
        <w:t xml:space="preserve">methodology </w:t>
      </w:r>
      <w:r w:rsidR="004C6E63">
        <w:rPr>
          <w:lang w:eastAsia="ja-JP"/>
        </w:rPr>
        <w:t>to apply charges</w:t>
      </w:r>
    </w:p>
    <w:p w14:paraId="764C0600" w14:textId="35924180" w:rsidR="00CA2E3D" w:rsidRDefault="00CA2E3D" w:rsidP="00CA2E3D">
      <w:pPr>
        <w:pStyle w:val="ListParagraph"/>
        <w:numPr>
          <w:ilvl w:val="0"/>
          <w:numId w:val="13"/>
        </w:numPr>
        <w:rPr>
          <w:lang w:eastAsia="ja-JP"/>
        </w:rPr>
      </w:pPr>
      <w:r>
        <w:rPr>
          <w:lang w:eastAsia="ja-JP"/>
        </w:rPr>
        <w:t>provid</w:t>
      </w:r>
      <w:r w:rsidR="004C6E63">
        <w:rPr>
          <w:lang w:eastAsia="ja-JP"/>
        </w:rPr>
        <w:t>ing</w:t>
      </w:r>
      <w:r>
        <w:rPr>
          <w:lang w:eastAsia="ja-JP"/>
        </w:rPr>
        <w:t xml:space="preserve"> a consistent </w:t>
      </w:r>
      <w:r w:rsidR="004C6E63">
        <w:rPr>
          <w:lang w:eastAsia="ja-JP"/>
        </w:rPr>
        <w:t>remuneration scale for service providers (administrators), thereby establishing a level playing field</w:t>
      </w:r>
    </w:p>
    <w:p w14:paraId="1F81D643" w14:textId="3F882EBC" w:rsidR="00CA2E3D" w:rsidRDefault="00CA2E3D" w:rsidP="00CA2E3D">
      <w:pPr>
        <w:pStyle w:val="ListParagraph"/>
        <w:numPr>
          <w:ilvl w:val="0"/>
          <w:numId w:val="13"/>
        </w:numPr>
        <w:rPr>
          <w:lang w:eastAsia="ja-JP"/>
        </w:rPr>
      </w:pPr>
      <w:r>
        <w:rPr>
          <w:lang w:eastAsia="ja-JP"/>
        </w:rPr>
        <w:t>improv</w:t>
      </w:r>
      <w:r w:rsidR="004C6E63">
        <w:rPr>
          <w:lang w:eastAsia="ja-JP"/>
        </w:rPr>
        <w:t>ing</w:t>
      </w:r>
      <w:r>
        <w:rPr>
          <w:lang w:eastAsia="ja-JP"/>
        </w:rPr>
        <w:t xml:space="preserve"> transparency for all parties.</w:t>
      </w:r>
    </w:p>
    <w:p w14:paraId="6DC56771" w14:textId="71128533" w:rsidR="00E2381E" w:rsidRDefault="000D3FD2" w:rsidP="003A673A">
      <w:pPr>
        <w:pStyle w:val="Caption"/>
        <w:rPr>
          <w:lang w:eastAsia="ja-JP"/>
        </w:rPr>
      </w:pPr>
      <w:r>
        <w:t xml:space="preserve">Table </w:t>
      </w:r>
      <w:r>
        <w:fldChar w:fldCharType="begin"/>
      </w:r>
      <w:r>
        <w:instrText xml:space="preserve"> SEQ Table \* ARABIC </w:instrText>
      </w:r>
      <w:r>
        <w:fldChar w:fldCharType="separate"/>
      </w:r>
      <w:r w:rsidR="006B2E7E">
        <w:rPr>
          <w:noProof/>
        </w:rPr>
        <w:t>2</w:t>
      </w:r>
      <w:r>
        <w:fldChar w:fldCharType="end"/>
      </w:r>
      <w:r>
        <w:t xml:space="preserve">: </w:t>
      </w:r>
      <w:r w:rsidR="003A266B">
        <w:t>Criteria analysis summary</w:t>
      </w:r>
    </w:p>
    <w:tbl>
      <w:tblPr>
        <w:tblStyle w:val="TableGrid"/>
        <w:tblW w:w="0" w:type="auto"/>
        <w:tblLook w:val="04A0" w:firstRow="1" w:lastRow="0" w:firstColumn="1" w:lastColumn="0" w:noHBand="0" w:noVBand="1"/>
      </w:tblPr>
      <w:tblGrid>
        <w:gridCol w:w="3114"/>
        <w:gridCol w:w="2551"/>
        <w:gridCol w:w="3345"/>
      </w:tblGrid>
      <w:tr w:rsidR="00F437B3" w:rsidRPr="000D3FD2" w14:paraId="5B123029" w14:textId="77777777" w:rsidTr="004C6304">
        <w:trPr>
          <w:cnfStyle w:val="100000000000" w:firstRow="1" w:lastRow="0" w:firstColumn="0" w:lastColumn="0" w:oddVBand="0" w:evenVBand="0" w:oddHBand="0" w:evenHBand="0" w:firstRowFirstColumn="0" w:firstRowLastColumn="0" w:lastRowFirstColumn="0" w:lastRowLastColumn="0"/>
          <w:tblHeader/>
        </w:trPr>
        <w:tc>
          <w:tcPr>
            <w:tcW w:w="3114" w:type="dxa"/>
          </w:tcPr>
          <w:p w14:paraId="50B9E8AC" w14:textId="24BBBE85" w:rsidR="00F437B3" w:rsidRPr="003A673A" w:rsidRDefault="000D3FD2" w:rsidP="00246741">
            <w:pPr>
              <w:rPr>
                <w:b/>
                <w:bCs/>
                <w:lang w:eastAsia="ja-JP"/>
              </w:rPr>
            </w:pPr>
            <w:r w:rsidRPr="003A673A">
              <w:rPr>
                <w:b/>
                <w:bCs/>
                <w:lang w:eastAsia="ja-JP"/>
              </w:rPr>
              <w:t>Criterion</w:t>
            </w:r>
          </w:p>
        </w:tc>
        <w:tc>
          <w:tcPr>
            <w:tcW w:w="2551" w:type="dxa"/>
          </w:tcPr>
          <w:p w14:paraId="0720003B" w14:textId="60AA7B8E" w:rsidR="00F437B3" w:rsidRPr="003A673A" w:rsidRDefault="00F437B3" w:rsidP="00FB4CF4">
            <w:pPr>
              <w:rPr>
                <w:b/>
                <w:bCs/>
                <w:lang w:eastAsia="ja-JP"/>
              </w:rPr>
            </w:pPr>
            <w:r w:rsidRPr="003A673A">
              <w:rPr>
                <w:b/>
                <w:bCs/>
                <w:lang w:eastAsia="ja-JP"/>
              </w:rPr>
              <w:t xml:space="preserve">Current </w:t>
            </w:r>
            <w:r w:rsidR="000D3FD2" w:rsidRPr="003A673A">
              <w:rPr>
                <w:b/>
                <w:bCs/>
                <w:lang w:eastAsia="ja-JP"/>
              </w:rPr>
              <w:t>arrangements</w:t>
            </w:r>
          </w:p>
        </w:tc>
        <w:tc>
          <w:tcPr>
            <w:tcW w:w="3345" w:type="dxa"/>
          </w:tcPr>
          <w:p w14:paraId="71B58091" w14:textId="44E90474" w:rsidR="00F437B3" w:rsidRPr="003A673A" w:rsidRDefault="00F437B3" w:rsidP="00FB4CF4">
            <w:pPr>
              <w:rPr>
                <w:b/>
                <w:bCs/>
                <w:lang w:eastAsia="ja-JP"/>
              </w:rPr>
            </w:pPr>
            <w:r w:rsidRPr="003A673A">
              <w:rPr>
                <w:b/>
                <w:bCs/>
                <w:lang w:eastAsia="ja-JP"/>
              </w:rPr>
              <w:t xml:space="preserve">Proposed </w:t>
            </w:r>
            <w:r w:rsidR="000D3FD2" w:rsidRPr="003A673A">
              <w:rPr>
                <w:b/>
                <w:bCs/>
                <w:lang w:eastAsia="ja-JP"/>
              </w:rPr>
              <w:t>remuneration</w:t>
            </w:r>
            <w:r w:rsidRPr="003A673A">
              <w:rPr>
                <w:b/>
                <w:bCs/>
                <w:lang w:eastAsia="ja-JP"/>
              </w:rPr>
              <w:t xml:space="preserve"> scale</w:t>
            </w:r>
          </w:p>
        </w:tc>
      </w:tr>
      <w:tr w:rsidR="00F437B3" w14:paraId="00AE99A1" w14:textId="77777777" w:rsidTr="004C6304">
        <w:tc>
          <w:tcPr>
            <w:tcW w:w="3114" w:type="dxa"/>
          </w:tcPr>
          <w:p w14:paraId="63CE8DE7" w14:textId="1DE78C55" w:rsidR="00F437B3" w:rsidRPr="0052666A" w:rsidRDefault="00F437B3" w:rsidP="00246741">
            <w:pPr>
              <w:rPr>
                <w:b/>
                <w:bCs/>
                <w:lang w:eastAsia="ja-JP"/>
              </w:rPr>
            </w:pPr>
            <w:r w:rsidRPr="0052666A">
              <w:rPr>
                <w:b/>
                <w:bCs/>
                <w:lang w:eastAsia="ja-JP"/>
              </w:rPr>
              <w:t>Fairness</w:t>
            </w:r>
            <w:r w:rsidR="00277FAC" w:rsidRPr="0052666A">
              <w:rPr>
                <w:b/>
                <w:bCs/>
                <w:lang w:eastAsia="ja-JP"/>
              </w:rPr>
              <w:t xml:space="preserve"> (to represented persons</w:t>
            </w:r>
            <w:r w:rsidR="0052666A" w:rsidRPr="0052666A">
              <w:rPr>
                <w:b/>
                <w:bCs/>
                <w:lang w:eastAsia="ja-JP"/>
              </w:rPr>
              <w:t>, incorporating vertical equity issues</w:t>
            </w:r>
            <w:r w:rsidR="00277FAC" w:rsidRPr="0052666A">
              <w:rPr>
                <w:b/>
                <w:bCs/>
                <w:lang w:eastAsia="ja-JP"/>
              </w:rPr>
              <w:t>)</w:t>
            </w:r>
            <w:r w:rsidR="00512999" w:rsidRPr="0052666A">
              <w:rPr>
                <w:b/>
                <w:bCs/>
                <w:lang w:eastAsia="ja-JP"/>
              </w:rPr>
              <w:t xml:space="preserve"> and protection</w:t>
            </w:r>
            <w:r w:rsidR="000D3FD2" w:rsidRPr="0052666A">
              <w:rPr>
                <w:b/>
                <w:bCs/>
                <w:lang w:eastAsia="ja-JP"/>
              </w:rPr>
              <w:t xml:space="preserve"> from unnecessary costs</w:t>
            </w:r>
          </w:p>
        </w:tc>
        <w:tc>
          <w:tcPr>
            <w:tcW w:w="2551" w:type="dxa"/>
          </w:tcPr>
          <w:p w14:paraId="056CEAD6" w14:textId="77777777" w:rsidR="004C6E63" w:rsidRDefault="003C3362" w:rsidP="00654C7F">
            <w:pPr>
              <w:rPr>
                <w:lang w:eastAsia="ja-JP"/>
              </w:rPr>
            </w:pPr>
            <w:r>
              <w:rPr>
                <w:lang w:eastAsia="ja-JP"/>
              </w:rPr>
              <w:t>Remuneration arrangements lack coherence and transparency, and are too complex for the lay person to understand.</w:t>
            </w:r>
          </w:p>
          <w:p w14:paraId="0626BE2C" w14:textId="182E234F" w:rsidR="003C3362" w:rsidRDefault="003C3362" w:rsidP="00654C7F">
            <w:pPr>
              <w:rPr>
                <w:lang w:eastAsia="ja-JP"/>
              </w:rPr>
            </w:pPr>
            <w:r>
              <w:rPr>
                <w:lang w:eastAsia="ja-JP"/>
              </w:rPr>
              <w:t xml:space="preserve">Under such a system </w:t>
            </w:r>
            <w:r w:rsidR="001B2F58">
              <w:rPr>
                <w:lang w:eastAsia="ja-JP"/>
              </w:rPr>
              <w:t>the</w:t>
            </w:r>
            <w:r>
              <w:rPr>
                <w:lang w:eastAsia="ja-JP"/>
              </w:rPr>
              <w:t xml:space="preserve"> most appropriate levels of charging may not occur.</w:t>
            </w:r>
          </w:p>
        </w:tc>
        <w:tc>
          <w:tcPr>
            <w:tcW w:w="3345" w:type="dxa"/>
          </w:tcPr>
          <w:p w14:paraId="175A5D00" w14:textId="22FBDDD2" w:rsidR="00F437B3" w:rsidRDefault="004C6E63" w:rsidP="00246741">
            <w:pPr>
              <w:rPr>
                <w:lang w:eastAsia="ja-JP"/>
              </w:rPr>
            </w:pPr>
            <w:r>
              <w:rPr>
                <w:lang w:eastAsia="ja-JP"/>
              </w:rPr>
              <w:t>Will ensure that remuneration matches tasks perform</w:t>
            </w:r>
            <w:r w:rsidR="00654C7F">
              <w:rPr>
                <w:lang w:eastAsia="ja-JP"/>
              </w:rPr>
              <w:t>ed and seeks to set an appropriate level of value of service.</w:t>
            </w:r>
          </w:p>
        </w:tc>
      </w:tr>
      <w:tr w:rsidR="00F437B3" w14:paraId="333C130E" w14:textId="77777777" w:rsidTr="004C6304">
        <w:tc>
          <w:tcPr>
            <w:tcW w:w="3114" w:type="dxa"/>
          </w:tcPr>
          <w:p w14:paraId="454853AF" w14:textId="5B870A49" w:rsidR="00F437B3" w:rsidRPr="0052666A" w:rsidRDefault="00277FAC" w:rsidP="00246741">
            <w:pPr>
              <w:rPr>
                <w:b/>
                <w:bCs/>
                <w:lang w:eastAsia="ja-JP"/>
              </w:rPr>
            </w:pPr>
            <w:r w:rsidRPr="0052666A">
              <w:rPr>
                <w:b/>
                <w:bCs/>
                <w:lang w:eastAsia="ja-JP"/>
              </w:rPr>
              <w:t>Transparency</w:t>
            </w:r>
          </w:p>
        </w:tc>
        <w:tc>
          <w:tcPr>
            <w:tcW w:w="2551" w:type="dxa"/>
          </w:tcPr>
          <w:p w14:paraId="02BF4223" w14:textId="3D0D4E96" w:rsidR="00F437B3" w:rsidRDefault="00CA2E3D" w:rsidP="00246741">
            <w:pPr>
              <w:rPr>
                <w:lang w:eastAsia="ja-JP"/>
              </w:rPr>
            </w:pPr>
            <w:r>
              <w:rPr>
                <w:lang w:eastAsia="ja-JP"/>
              </w:rPr>
              <w:t>P</w:t>
            </w:r>
            <w:r w:rsidR="0007318C">
              <w:rPr>
                <w:lang w:eastAsia="ja-JP"/>
              </w:rPr>
              <w:t>oor transparency in terms of tasks that attract fees, what fees apply</w:t>
            </w:r>
            <w:r w:rsidR="00654D01">
              <w:rPr>
                <w:lang w:eastAsia="ja-JP"/>
              </w:rPr>
              <w:t xml:space="preserve"> and</w:t>
            </w:r>
            <w:r w:rsidR="0007318C">
              <w:rPr>
                <w:lang w:eastAsia="ja-JP"/>
              </w:rPr>
              <w:t xml:space="preserve"> how fees are calculated.</w:t>
            </w:r>
          </w:p>
        </w:tc>
        <w:tc>
          <w:tcPr>
            <w:tcW w:w="3345" w:type="dxa"/>
          </w:tcPr>
          <w:p w14:paraId="7E58E452" w14:textId="23CE34CA" w:rsidR="00F437B3" w:rsidRDefault="00732EF3" w:rsidP="00246741">
            <w:pPr>
              <w:rPr>
                <w:lang w:eastAsia="ja-JP"/>
              </w:rPr>
            </w:pPr>
            <w:r>
              <w:rPr>
                <w:lang w:eastAsia="ja-JP"/>
              </w:rPr>
              <w:t>Significant improvement in transparency.</w:t>
            </w:r>
            <w:r w:rsidR="00654C7F">
              <w:rPr>
                <w:lang w:eastAsia="ja-JP"/>
              </w:rPr>
              <w:t xml:space="preserve"> Improved transparency will also enhance accountability</w:t>
            </w:r>
            <w:r w:rsidR="003C3362">
              <w:rPr>
                <w:lang w:eastAsia="ja-JP"/>
              </w:rPr>
              <w:t xml:space="preserve"> and enhance ‘trust’ in the system by improving the ‘information asymmetry’</w:t>
            </w:r>
            <w:r w:rsidR="007F0689">
              <w:rPr>
                <w:lang w:eastAsia="ja-JP"/>
              </w:rPr>
              <w:t>.</w:t>
            </w:r>
          </w:p>
        </w:tc>
      </w:tr>
      <w:tr w:rsidR="00F437B3" w14:paraId="60035770" w14:textId="77777777" w:rsidTr="004C6304">
        <w:tc>
          <w:tcPr>
            <w:tcW w:w="3114" w:type="dxa"/>
          </w:tcPr>
          <w:p w14:paraId="22B3D4D5" w14:textId="291E9114" w:rsidR="00F437B3" w:rsidRPr="00CA2E3D" w:rsidRDefault="00277FAC" w:rsidP="00246741">
            <w:pPr>
              <w:rPr>
                <w:b/>
                <w:bCs/>
                <w:lang w:eastAsia="ja-JP"/>
              </w:rPr>
            </w:pPr>
            <w:r w:rsidRPr="00CA2E3D">
              <w:rPr>
                <w:b/>
                <w:bCs/>
                <w:lang w:eastAsia="ja-JP"/>
              </w:rPr>
              <w:t xml:space="preserve">Cost effectiveness (efficiency, and </w:t>
            </w:r>
            <w:r w:rsidR="00512999" w:rsidRPr="00CA2E3D">
              <w:rPr>
                <w:b/>
                <w:bCs/>
                <w:lang w:eastAsia="ja-JP"/>
              </w:rPr>
              <w:t>whether remuneration is fair to administrators</w:t>
            </w:r>
            <w:r w:rsidR="00CA2E3D" w:rsidRPr="00CA2E3D">
              <w:rPr>
                <w:b/>
                <w:bCs/>
                <w:lang w:eastAsia="ja-JP"/>
              </w:rPr>
              <w:t xml:space="preserve"> and incorporates horizontal equity issues</w:t>
            </w:r>
            <w:r w:rsidR="00512999" w:rsidRPr="00CA2E3D">
              <w:rPr>
                <w:b/>
                <w:bCs/>
                <w:lang w:eastAsia="ja-JP"/>
              </w:rPr>
              <w:t>)</w:t>
            </w:r>
          </w:p>
        </w:tc>
        <w:tc>
          <w:tcPr>
            <w:tcW w:w="2551" w:type="dxa"/>
          </w:tcPr>
          <w:p w14:paraId="67F8B390" w14:textId="428CB5DF" w:rsidR="00654C7F" w:rsidRDefault="003C3362" w:rsidP="003C3362">
            <w:pPr>
              <w:rPr>
                <w:lang w:eastAsia="ja-JP"/>
              </w:rPr>
            </w:pPr>
            <w:r>
              <w:rPr>
                <w:lang w:eastAsia="ja-JP"/>
              </w:rPr>
              <w:t>The current scale is an artefact of the legal profession and</w:t>
            </w:r>
            <w:r w:rsidR="00654D01">
              <w:rPr>
                <w:lang w:eastAsia="ja-JP"/>
              </w:rPr>
              <w:t>,</w:t>
            </w:r>
            <w:r>
              <w:rPr>
                <w:lang w:eastAsia="ja-JP"/>
              </w:rPr>
              <w:t xml:space="preserve"> while entirely appropriate for legal work, does not represent the most suitable framework for administrator tasks.</w:t>
            </w:r>
          </w:p>
        </w:tc>
        <w:tc>
          <w:tcPr>
            <w:tcW w:w="3345" w:type="dxa"/>
          </w:tcPr>
          <w:p w14:paraId="4B0D8064" w14:textId="3C46518D" w:rsidR="00F437B3" w:rsidRDefault="007F0689" w:rsidP="00246741">
            <w:pPr>
              <w:rPr>
                <w:lang w:eastAsia="ja-JP"/>
              </w:rPr>
            </w:pPr>
            <w:r>
              <w:rPr>
                <w:lang w:eastAsia="ja-JP"/>
              </w:rPr>
              <w:t xml:space="preserve">Greater transparency and simplicity should drive cost </w:t>
            </w:r>
            <w:r w:rsidR="003C3362">
              <w:rPr>
                <w:lang w:eastAsia="ja-JP"/>
              </w:rPr>
              <w:t>efficiencies</w:t>
            </w:r>
            <w:r>
              <w:rPr>
                <w:lang w:eastAsia="ja-JP"/>
              </w:rPr>
              <w:t>.</w:t>
            </w:r>
          </w:p>
        </w:tc>
      </w:tr>
      <w:tr w:rsidR="00F437B3" w14:paraId="2E4D01D2" w14:textId="77777777" w:rsidTr="004C6304">
        <w:tc>
          <w:tcPr>
            <w:tcW w:w="3114" w:type="dxa"/>
          </w:tcPr>
          <w:p w14:paraId="7B3E5F17" w14:textId="7A8C423E" w:rsidR="00F437B3" w:rsidRPr="00CA2E3D" w:rsidRDefault="000D3FD2" w:rsidP="00246741">
            <w:pPr>
              <w:rPr>
                <w:b/>
                <w:bCs/>
                <w:lang w:eastAsia="ja-JP"/>
              </w:rPr>
            </w:pPr>
            <w:r w:rsidRPr="00CA2E3D">
              <w:rPr>
                <w:b/>
                <w:bCs/>
                <w:lang w:eastAsia="ja-JP"/>
              </w:rPr>
              <w:lastRenderedPageBreak/>
              <w:t>Simplicity</w:t>
            </w:r>
          </w:p>
        </w:tc>
        <w:tc>
          <w:tcPr>
            <w:tcW w:w="2551" w:type="dxa"/>
          </w:tcPr>
          <w:p w14:paraId="22D2FBC7" w14:textId="57B72B38" w:rsidR="00F437B3" w:rsidRDefault="00732EF3" w:rsidP="00246741">
            <w:pPr>
              <w:rPr>
                <w:lang w:eastAsia="ja-JP"/>
              </w:rPr>
            </w:pPr>
            <w:r>
              <w:rPr>
                <w:lang w:eastAsia="ja-JP"/>
              </w:rPr>
              <w:t xml:space="preserve">Not </w:t>
            </w:r>
            <w:r w:rsidR="0084147C">
              <w:rPr>
                <w:lang w:eastAsia="ja-JP"/>
              </w:rPr>
              <w:t>simple. The PRO is not fit for purpose for administration tasks, and is opaque in terms of how it should be applied.</w:t>
            </w:r>
          </w:p>
        </w:tc>
        <w:tc>
          <w:tcPr>
            <w:tcW w:w="3345" w:type="dxa"/>
          </w:tcPr>
          <w:p w14:paraId="468F5142" w14:textId="77777777" w:rsidR="00CA2E3D" w:rsidRDefault="00550D8D" w:rsidP="00246741">
            <w:pPr>
              <w:rPr>
                <w:lang w:eastAsia="ja-JP"/>
              </w:rPr>
            </w:pPr>
            <w:r>
              <w:rPr>
                <w:lang w:eastAsia="ja-JP"/>
              </w:rPr>
              <w:t xml:space="preserve">Provides improved simplicity by setting clear </w:t>
            </w:r>
            <w:r w:rsidR="0040204F">
              <w:rPr>
                <w:lang w:eastAsia="ja-JP"/>
              </w:rPr>
              <w:t>remuneration</w:t>
            </w:r>
            <w:r>
              <w:rPr>
                <w:lang w:eastAsia="ja-JP"/>
              </w:rPr>
              <w:t xml:space="preserve"> fees against </w:t>
            </w:r>
            <w:r w:rsidR="0040204F">
              <w:rPr>
                <w:lang w:eastAsia="ja-JP"/>
              </w:rPr>
              <w:t xml:space="preserve">clearly defined tasks. </w:t>
            </w:r>
          </w:p>
          <w:p w14:paraId="1311D60A" w14:textId="2901D684" w:rsidR="00F437B3" w:rsidRDefault="0040204F" w:rsidP="00246741">
            <w:pPr>
              <w:rPr>
                <w:lang w:eastAsia="ja-JP"/>
              </w:rPr>
            </w:pPr>
            <w:r>
              <w:rPr>
                <w:lang w:eastAsia="ja-JP"/>
              </w:rPr>
              <w:t>Any party would be able to easily understand how the scale has been applied and fees calculated.</w:t>
            </w:r>
          </w:p>
        </w:tc>
      </w:tr>
    </w:tbl>
    <w:p w14:paraId="1470C7F9" w14:textId="77777777" w:rsidR="004C6304" w:rsidRPr="004C6304" w:rsidRDefault="004C6304" w:rsidP="004C6304">
      <w:bookmarkStart w:id="75" w:name="_Toc115704200"/>
      <w:bookmarkStart w:id="76" w:name="_Toc124917439"/>
    </w:p>
    <w:p w14:paraId="31C092F0" w14:textId="5602EB4F" w:rsidR="004C6304" w:rsidRPr="004C6304" w:rsidRDefault="004C6304" w:rsidP="004C6304">
      <w:r w:rsidRPr="004C6304">
        <w:rPr>
          <w:noProof/>
        </w:rPr>
        <w:drawing>
          <wp:inline distT="0" distB="0" distL="0" distR="0" wp14:anchorId="27838D3F" wp14:editId="522BD0BB">
            <wp:extent cx="5727700" cy="651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7700" cy="651510"/>
                    </a:xfrm>
                    <a:prstGeom prst="rect">
                      <a:avLst/>
                    </a:prstGeom>
                    <a:noFill/>
                    <a:ln>
                      <a:noFill/>
                    </a:ln>
                  </pic:spPr>
                </pic:pic>
              </a:graphicData>
            </a:graphic>
          </wp:inline>
        </w:drawing>
      </w:r>
    </w:p>
    <w:p w14:paraId="494F08FC" w14:textId="43D1C2D3" w:rsidR="00BE1469" w:rsidRDefault="00BE1469" w:rsidP="00BE1469">
      <w:pPr>
        <w:pStyle w:val="Heading1"/>
        <w:rPr>
          <w:lang w:eastAsia="ja-JP"/>
        </w:rPr>
      </w:pPr>
      <w:r>
        <w:rPr>
          <w:lang w:eastAsia="ja-JP"/>
        </w:rPr>
        <w:t>Other matters</w:t>
      </w:r>
      <w:bookmarkEnd w:id="75"/>
      <w:bookmarkEnd w:id="76"/>
      <w:r w:rsidR="00FA62CA">
        <w:rPr>
          <w:lang w:eastAsia="ja-JP"/>
        </w:rPr>
        <w:t xml:space="preserve"> </w:t>
      </w:r>
    </w:p>
    <w:p w14:paraId="7818835C" w14:textId="3985FD69" w:rsidR="00BE1469" w:rsidRDefault="00BE1469" w:rsidP="00BE1469">
      <w:pPr>
        <w:rPr>
          <w:lang w:eastAsia="ja-JP"/>
        </w:rPr>
      </w:pPr>
      <w:r>
        <w:rPr>
          <w:lang w:eastAsia="ja-JP"/>
        </w:rPr>
        <w:t xml:space="preserve">A number of issues were raised in consultation, or identified through </w:t>
      </w:r>
      <w:r w:rsidR="00B30CDB">
        <w:rPr>
          <w:lang w:eastAsia="ja-JP"/>
        </w:rPr>
        <w:t>the</w:t>
      </w:r>
      <w:r>
        <w:rPr>
          <w:lang w:eastAsia="ja-JP"/>
        </w:rPr>
        <w:t xml:space="preserve"> analysis, </w:t>
      </w:r>
      <w:r w:rsidR="00681A85">
        <w:rPr>
          <w:lang w:eastAsia="ja-JP"/>
        </w:rPr>
        <w:t>which</w:t>
      </w:r>
      <w:r>
        <w:rPr>
          <w:lang w:eastAsia="ja-JP"/>
        </w:rPr>
        <w:t xml:space="preserve"> are beyond the scope of setting a renumeration scale, but which may assist or support better remuneration management.</w:t>
      </w:r>
      <w:r w:rsidR="00CE6D5A">
        <w:rPr>
          <w:lang w:eastAsia="ja-JP"/>
        </w:rPr>
        <w:t xml:space="preserve"> In parallel with progressing and implementing the </w:t>
      </w:r>
      <w:r w:rsidR="00F702B5">
        <w:rPr>
          <w:lang w:eastAsia="ja-JP"/>
        </w:rPr>
        <w:t>remuneration scale, VCAT will:</w:t>
      </w:r>
    </w:p>
    <w:p w14:paraId="5F745C20" w14:textId="7DB226BA" w:rsidR="00BE1469" w:rsidRDefault="00F702B5" w:rsidP="006F4742">
      <w:pPr>
        <w:pStyle w:val="ListParagraph"/>
        <w:numPr>
          <w:ilvl w:val="0"/>
          <w:numId w:val="42"/>
        </w:numPr>
        <w:rPr>
          <w:lang w:eastAsia="ja-JP"/>
        </w:rPr>
      </w:pPr>
      <w:r>
        <w:rPr>
          <w:lang w:eastAsia="ja-JP"/>
        </w:rPr>
        <w:t>consider the need for</w:t>
      </w:r>
      <w:r w:rsidR="00BE1469">
        <w:rPr>
          <w:lang w:eastAsia="ja-JP"/>
        </w:rPr>
        <w:t xml:space="preserve"> additional guidance/statement of expected conduct by administrators</w:t>
      </w:r>
      <w:r w:rsidR="000B7BBF">
        <w:rPr>
          <w:lang w:eastAsia="ja-JP"/>
        </w:rPr>
        <w:t>.</w:t>
      </w:r>
      <w:r w:rsidR="00165633">
        <w:rPr>
          <w:lang w:eastAsia="ja-JP"/>
        </w:rPr>
        <w:t xml:space="preserve"> For example, </w:t>
      </w:r>
      <w:r w:rsidR="00BE1469">
        <w:rPr>
          <w:lang w:eastAsia="ja-JP"/>
        </w:rPr>
        <w:t>administrators should be expected to set up processes to reduce time and costs of routine tasks wherever possible (e.g., use of automatic direct debits to pay bills, use of cheapest payment methods where available).</w:t>
      </w:r>
    </w:p>
    <w:p w14:paraId="0DFF33A2" w14:textId="3BFF9BCC" w:rsidR="00BE1469" w:rsidRDefault="00FA62CA" w:rsidP="006F4742">
      <w:pPr>
        <w:pStyle w:val="ListParagraph"/>
        <w:numPr>
          <w:ilvl w:val="0"/>
          <w:numId w:val="42"/>
        </w:numPr>
        <w:rPr>
          <w:lang w:eastAsia="ja-JP"/>
        </w:rPr>
      </w:pPr>
      <w:r>
        <w:rPr>
          <w:lang w:eastAsia="ja-JP"/>
        </w:rPr>
        <w:t>i</w:t>
      </w:r>
      <w:r w:rsidR="005E4D79">
        <w:rPr>
          <w:lang w:eastAsia="ja-JP"/>
        </w:rPr>
        <w:t xml:space="preserve">dentify potential ways </w:t>
      </w:r>
      <w:r w:rsidR="00F47A3C">
        <w:rPr>
          <w:lang w:eastAsia="ja-JP"/>
        </w:rPr>
        <w:t>to</w:t>
      </w:r>
      <w:r w:rsidR="00BE1469">
        <w:rPr>
          <w:lang w:eastAsia="ja-JP"/>
        </w:rPr>
        <w:t xml:space="preserve"> assist reducing some of the costs incurred by administrators. A common example given was the processes for administrators dealing with banks, which appears to take excessive amounts of time because the banks do not have a clear understanding of administrator orders and what documentation is necessary to allow them to deal with an administrator. Separate work would be required to talk to banks to find out how this could be addressed.</w:t>
      </w:r>
    </w:p>
    <w:p w14:paraId="5E4651B9" w14:textId="63F6367C" w:rsidR="00FD095D" w:rsidRDefault="00BE1469" w:rsidP="006F4742">
      <w:pPr>
        <w:pStyle w:val="ListParagraph"/>
        <w:numPr>
          <w:ilvl w:val="0"/>
          <w:numId w:val="42"/>
        </w:numPr>
        <w:rPr>
          <w:lang w:eastAsia="ja-JP"/>
        </w:rPr>
      </w:pPr>
      <w:r>
        <w:rPr>
          <w:lang w:eastAsia="ja-JP"/>
        </w:rPr>
        <w:t>consider guidelines on when different types of administrators are appropriate</w:t>
      </w:r>
      <w:r w:rsidR="0007424A">
        <w:rPr>
          <w:lang w:eastAsia="ja-JP"/>
        </w:rPr>
        <w:t xml:space="preserve">. For example, </w:t>
      </w:r>
      <w:r>
        <w:rPr>
          <w:lang w:eastAsia="ja-JP"/>
        </w:rPr>
        <w:t xml:space="preserve">law firms would be preferred when there are legal issues to resolve </w:t>
      </w:r>
      <w:r w:rsidR="00E03BD5">
        <w:rPr>
          <w:lang w:eastAsia="ja-JP"/>
        </w:rPr>
        <w:t xml:space="preserve">and </w:t>
      </w:r>
      <w:r>
        <w:rPr>
          <w:lang w:eastAsia="ja-JP"/>
        </w:rPr>
        <w:t>trustee companies preferred where there is a substantial asset base that required financial expertise to manage wisely. There was some discussion among stakeholders as to whether State Trustees should be seen as the default administrator</w:t>
      </w:r>
      <w:r w:rsidR="00C22F31">
        <w:rPr>
          <w:lang w:eastAsia="ja-JP"/>
        </w:rPr>
        <w:t>.</w:t>
      </w:r>
      <w:r>
        <w:rPr>
          <w:lang w:eastAsia="ja-JP"/>
        </w:rPr>
        <w:t xml:space="preserve"> </w:t>
      </w:r>
      <w:r w:rsidR="0010411D">
        <w:rPr>
          <w:lang w:eastAsia="ja-JP"/>
        </w:rPr>
        <w:t xml:space="preserve">Some feedback </w:t>
      </w:r>
      <w:r w:rsidR="00AC3FEE">
        <w:rPr>
          <w:lang w:eastAsia="ja-JP"/>
        </w:rPr>
        <w:t xml:space="preserve">from stakeholders </w:t>
      </w:r>
      <w:r w:rsidR="0010411D">
        <w:rPr>
          <w:lang w:eastAsia="ja-JP"/>
        </w:rPr>
        <w:t>indicated</w:t>
      </w:r>
      <w:r>
        <w:rPr>
          <w:lang w:eastAsia="ja-JP"/>
        </w:rPr>
        <w:t xml:space="preserve"> that State Trustees w</w:t>
      </w:r>
      <w:r w:rsidR="00AC3FEE">
        <w:rPr>
          <w:lang w:eastAsia="ja-JP"/>
        </w:rPr>
        <w:t xml:space="preserve">ould </w:t>
      </w:r>
      <w:r>
        <w:rPr>
          <w:lang w:eastAsia="ja-JP"/>
        </w:rPr>
        <w:t xml:space="preserve">not </w:t>
      </w:r>
      <w:r w:rsidR="00FA6491">
        <w:rPr>
          <w:lang w:eastAsia="ja-JP"/>
        </w:rPr>
        <w:t>always</w:t>
      </w:r>
      <w:r w:rsidR="00AC3FEE">
        <w:rPr>
          <w:lang w:eastAsia="ja-JP"/>
        </w:rPr>
        <w:t xml:space="preserve"> be</w:t>
      </w:r>
      <w:r w:rsidR="00FA6491">
        <w:rPr>
          <w:lang w:eastAsia="ja-JP"/>
        </w:rPr>
        <w:t xml:space="preserve"> </w:t>
      </w:r>
      <w:r>
        <w:rPr>
          <w:lang w:eastAsia="ja-JP"/>
        </w:rPr>
        <w:t xml:space="preserve">the most appropriate administrator for </w:t>
      </w:r>
      <w:r w:rsidR="00AC3FEE">
        <w:rPr>
          <w:lang w:eastAsia="ja-JP"/>
        </w:rPr>
        <w:t>certain</w:t>
      </w:r>
      <w:r>
        <w:rPr>
          <w:lang w:eastAsia="ja-JP"/>
        </w:rPr>
        <w:t xml:space="preserve"> clients. A new remuneration scale may provide an opportunity to </w:t>
      </w:r>
      <w:r w:rsidR="00FA6491">
        <w:rPr>
          <w:lang w:eastAsia="ja-JP"/>
        </w:rPr>
        <w:t xml:space="preserve">better </w:t>
      </w:r>
      <w:r>
        <w:rPr>
          <w:lang w:eastAsia="ja-JP"/>
        </w:rPr>
        <w:t>articulate what administrators are suitable for different circumstances.</w:t>
      </w:r>
    </w:p>
    <w:p w14:paraId="3AB13119" w14:textId="77777777" w:rsidR="00042AA4" w:rsidRPr="00A11135" w:rsidRDefault="00042AA4" w:rsidP="00A11135"/>
    <w:p w14:paraId="58736A2D" w14:textId="478635B5" w:rsidR="00947332" w:rsidRDefault="00947332">
      <w:pPr>
        <w:spacing w:after="120" w:line="240" w:lineRule="auto"/>
        <w:rPr>
          <w:lang w:eastAsia="ja-JP"/>
        </w:rPr>
      </w:pPr>
      <w:r>
        <w:rPr>
          <w:lang w:eastAsia="ja-JP"/>
        </w:rPr>
        <w:br w:type="page"/>
      </w:r>
    </w:p>
    <w:p w14:paraId="5891895E" w14:textId="0AE74969" w:rsidR="00575012" w:rsidRPr="00575012" w:rsidRDefault="00575012" w:rsidP="00B177C3">
      <w:pPr>
        <w:pStyle w:val="Heading1"/>
        <w:numPr>
          <w:ilvl w:val="0"/>
          <w:numId w:val="0"/>
        </w:numPr>
        <w:ind w:hanging="6"/>
      </w:pPr>
      <w:bookmarkStart w:id="77" w:name="_Toc117064491"/>
      <w:bookmarkStart w:id="78" w:name="_Toc115704177"/>
      <w:bookmarkStart w:id="79" w:name="_Toc124917440"/>
      <w:bookmarkStart w:id="80" w:name="_Toc117064509"/>
      <w:bookmarkStart w:id="81" w:name="_Toc115704195"/>
      <w:r w:rsidRPr="00575012">
        <w:lastRenderedPageBreak/>
        <w:t>Appendix A</w:t>
      </w:r>
      <w:r>
        <w:t>:</w:t>
      </w:r>
      <w:r w:rsidRPr="00575012">
        <w:t xml:space="preserve"> Duties of an administrator when exercising functions</w:t>
      </w:r>
      <w:bookmarkEnd w:id="77"/>
      <w:bookmarkEnd w:id="78"/>
      <w:bookmarkEnd w:id="79"/>
    </w:p>
    <w:p w14:paraId="624FBBE1" w14:textId="77777777" w:rsidR="00575012" w:rsidRDefault="00575012" w:rsidP="00575012">
      <w:pPr>
        <w:rPr>
          <w:lang w:eastAsia="ja-JP"/>
        </w:rPr>
      </w:pPr>
      <w:r>
        <w:rPr>
          <w:lang w:eastAsia="ja-JP"/>
        </w:rPr>
        <w:t>An administrator must act in accordance with the general principles set out in section 8 of the GAA and the decision-making principles set out in section 9 of the GAA.</w:t>
      </w:r>
    </w:p>
    <w:p w14:paraId="2D264233" w14:textId="77777777" w:rsidR="00575012" w:rsidRPr="00197259" w:rsidRDefault="00575012" w:rsidP="00575012">
      <w:pPr>
        <w:pBdr>
          <w:top w:val="single" w:sz="4" w:space="1" w:color="auto"/>
          <w:left w:val="single" w:sz="4" w:space="4" w:color="auto"/>
          <w:bottom w:val="single" w:sz="4" w:space="1" w:color="auto"/>
          <w:right w:val="single" w:sz="4" w:space="4" w:color="auto"/>
        </w:pBdr>
        <w:shd w:val="clear" w:color="auto" w:fill="F2F2F2" w:themeFill="background1" w:themeFillShade="F2"/>
        <w:rPr>
          <w:b/>
          <w:bCs/>
          <w:lang w:eastAsia="ja-JP"/>
        </w:rPr>
      </w:pPr>
      <w:r w:rsidRPr="00197259">
        <w:rPr>
          <w:b/>
          <w:bCs/>
          <w:lang w:eastAsia="ja-JP"/>
        </w:rPr>
        <w:t>General principles</w:t>
      </w:r>
      <w:r>
        <w:rPr>
          <w:rStyle w:val="FootnoteReference"/>
          <w:b/>
          <w:bCs/>
          <w:lang w:eastAsia="ja-JP"/>
        </w:rPr>
        <w:footnoteReference w:id="19"/>
      </w:r>
    </w:p>
    <w:p w14:paraId="2FC65A9F" w14:textId="77777777" w:rsidR="00575012" w:rsidRDefault="00575012" w:rsidP="00575012">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ja-JP"/>
        </w:rPr>
      </w:pPr>
      <w:r>
        <w:rPr>
          <w:lang w:eastAsia="ja-JP"/>
        </w:rPr>
        <w:t>1. A person with a disability who requires support to make decisions should be provided with practicable and appropriate support to enable the person, as far as practicable in the circumstances:</w:t>
      </w:r>
    </w:p>
    <w:p w14:paraId="678F5329" w14:textId="77777777" w:rsidR="00575012" w:rsidRDefault="00575012" w:rsidP="00575012">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ja-JP"/>
        </w:rPr>
      </w:pPr>
      <w:r>
        <w:rPr>
          <w:lang w:eastAsia="ja-JP"/>
        </w:rPr>
        <w:t>(</w:t>
      </w:r>
      <w:proofErr w:type="spellStart"/>
      <w:r>
        <w:rPr>
          <w:lang w:eastAsia="ja-JP"/>
        </w:rPr>
        <w:t>i</w:t>
      </w:r>
      <w:proofErr w:type="spellEnd"/>
      <w:r>
        <w:rPr>
          <w:lang w:eastAsia="ja-JP"/>
        </w:rPr>
        <w:t>) to make and participate in decisions affecting the person; and</w:t>
      </w:r>
    </w:p>
    <w:p w14:paraId="00763E17" w14:textId="77777777" w:rsidR="00575012" w:rsidRDefault="00575012" w:rsidP="00575012">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ja-JP"/>
        </w:rPr>
      </w:pPr>
      <w:r>
        <w:rPr>
          <w:lang w:eastAsia="ja-JP"/>
        </w:rPr>
        <w:t>(ii) to express the person’s will and preferences; and</w:t>
      </w:r>
    </w:p>
    <w:p w14:paraId="5338A4F0" w14:textId="77777777" w:rsidR="00575012" w:rsidRDefault="00575012" w:rsidP="00575012">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ja-JP"/>
        </w:rPr>
      </w:pPr>
      <w:r>
        <w:rPr>
          <w:lang w:eastAsia="ja-JP"/>
        </w:rPr>
        <w:t>(iii) to develop the person's decision-making capacity.</w:t>
      </w:r>
    </w:p>
    <w:p w14:paraId="3F1C67F3" w14:textId="77777777" w:rsidR="00575012" w:rsidRDefault="00575012" w:rsidP="00575012">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ja-JP"/>
        </w:rPr>
      </w:pPr>
      <w:r>
        <w:rPr>
          <w:lang w:eastAsia="ja-JP"/>
        </w:rPr>
        <w:t>2. The will and preferences of a person with a disability should direct, as far as practicable, decisions made for that person.</w:t>
      </w:r>
    </w:p>
    <w:p w14:paraId="3FCCB5A3" w14:textId="77777777" w:rsidR="00575012" w:rsidRDefault="00575012" w:rsidP="00575012">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ja-JP"/>
        </w:rPr>
      </w:pPr>
      <w:r>
        <w:rPr>
          <w:lang w:eastAsia="ja-JP"/>
        </w:rPr>
        <w:t>3. Powers, functions and duties under the GAA should be exercised, carried out and performed in a way which is the least restrictive of the ability of a person with a disability to decide and act as is possible in the circumstances</w:t>
      </w:r>
    </w:p>
    <w:p w14:paraId="2B60F852" w14:textId="77777777" w:rsidR="00575012" w:rsidRPr="001910FA" w:rsidRDefault="00575012" w:rsidP="00575012">
      <w:pPr>
        <w:pBdr>
          <w:top w:val="single" w:sz="4" w:space="1" w:color="auto"/>
          <w:left w:val="single" w:sz="4" w:space="4" w:color="auto"/>
          <w:bottom w:val="single" w:sz="4" w:space="1" w:color="auto"/>
          <w:right w:val="single" w:sz="4" w:space="4" w:color="auto"/>
        </w:pBdr>
        <w:shd w:val="clear" w:color="auto" w:fill="F2F2F2" w:themeFill="background1" w:themeFillShade="F2"/>
        <w:rPr>
          <w:b/>
          <w:bCs/>
          <w:lang w:eastAsia="ja-JP"/>
        </w:rPr>
      </w:pPr>
      <w:r w:rsidRPr="001910FA">
        <w:rPr>
          <w:b/>
          <w:bCs/>
          <w:lang w:eastAsia="ja-JP"/>
        </w:rPr>
        <w:t>Decision-making principles</w:t>
      </w:r>
      <w:r>
        <w:rPr>
          <w:rStyle w:val="FootnoteReference"/>
          <w:b/>
          <w:bCs/>
          <w:lang w:eastAsia="ja-JP"/>
        </w:rPr>
        <w:footnoteReference w:id="20"/>
      </w:r>
    </w:p>
    <w:p w14:paraId="42232DEB" w14:textId="77777777" w:rsidR="00575012" w:rsidRDefault="00575012" w:rsidP="00575012">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ja-JP"/>
        </w:rPr>
      </w:pPr>
      <w:r>
        <w:rPr>
          <w:lang w:eastAsia="ja-JP"/>
        </w:rPr>
        <w:t>1. The administrator should give all practicable and appropriate effect to the represented person's will and preferences, if known.</w:t>
      </w:r>
    </w:p>
    <w:p w14:paraId="5AA558D3" w14:textId="77777777" w:rsidR="00575012" w:rsidRDefault="00575012" w:rsidP="00575012">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ja-JP"/>
        </w:rPr>
      </w:pPr>
      <w:r>
        <w:rPr>
          <w:lang w:eastAsia="ja-JP"/>
        </w:rPr>
        <w:t>2. If the administrator is not able to determine the represented person's will and preferences, the administrator should give effect as far as practicable in the circumstances to what the person believes the represented person's will and preferences are likely to be, based on all the information available, including information obtained by consulting the represented person's relatives, close friends and carers.</w:t>
      </w:r>
    </w:p>
    <w:p w14:paraId="144D894C" w14:textId="77777777" w:rsidR="00575012" w:rsidRDefault="00575012" w:rsidP="00575012">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ja-JP"/>
        </w:rPr>
      </w:pPr>
      <w:r>
        <w:rPr>
          <w:lang w:eastAsia="ja-JP"/>
        </w:rPr>
        <w:t>3. If the administrator is not able to determine the represented person's likely will and preferences, the person should act in a manner which promotes the represented person's personal and social wellbeing.</w:t>
      </w:r>
    </w:p>
    <w:p w14:paraId="7D98D8A3" w14:textId="77777777" w:rsidR="00575012" w:rsidRDefault="00575012" w:rsidP="00575012">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ja-JP"/>
        </w:rPr>
      </w:pPr>
      <w:r>
        <w:rPr>
          <w:lang w:eastAsia="ja-JP"/>
        </w:rPr>
        <w:t>4. If the represented person has a companion animal, the administrator should act in a manner that recognises the importance of the companion animal to the represented person and any benefits the represented person obtains from the companion animal.</w:t>
      </w:r>
    </w:p>
    <w:p w14:paraId="6BBBCF9C" w14:textId="77777777" w:rsidR="00575012" w:rsidRDefault="00575012" w:rsidP="00575012">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ja-JP"/>
        </w:rPr>
      </w:pPr>
      <w:r>
        <w:rPr>
          <w:lang w:eastAsia="ja-JP"/>
        </w:rPr>
        <w:t>5. The represented person's will and preferences should only be overridden if it is necessary to do so to prevent serious harm to the represented person.</w:t>
      </w:r>
    </w:p>
    <w:p w14:paraId="1F18912E" w14:textId="77777777" w:rsidR="00575012" w:rsidRDefault="00575012" w:rsidP="00575012">
      <w:pPr>
        <w:rPr>
          <w:lang w:eastAsia="ja-JP"/>
        </w:rPr>
      </w:pPr>
      <w:r>
        <w:rPr>
          <w:lang w:eastAsia="ja-JP"/>
        </w:rPr>
        <w:lastRenderedPageBreak/>
        <w:t xml:space="preserve">In addition to acting in accordance with the </w:t>
      </w:r>
      <w:r w:rsidRPr="00C07470">
        <w:rPr>
          <w:lang w:eastAsia="ja-JP"/>
        </w:rPr>
        <w:t>general principles set out in section 8 and the decision-making principles set out in section 9</w:t>
      </w:r>
      <w:r>
        <w:rPr>
          <w:lang w:eastAsia="ja-JP"/>
        </w:rPr>
        <w:t xml:space="preserve"> (outlined above) of the GAA, an administrator must also:</w:t>
      </w:r>
      <w:r>
        <w:rPr>
          <w:rStyle w:val="FootnoteReference"/>
          <w:lang w:eastAsia="ja-JP"/>
        </w:rPr>
        <w:footnoteReference w:id="21"/>
      </w:r>
      <w:r>
        <w:rPr>
          <w:lang w:eastAsia="ja-JP"/>
        </w:rPr>
        <w:t xml:space="preserve"> </w:t>
      </w:r>
    </w:p>
    <w:p w14:paraId="0C864EC8" w14:textId="77777777" w:rsidR="00575012" w:rsidRDefault="00575012" w:rsidP="00575012">
      <w:pPr>
        <w:pStyle w:val="ListParagraph"/>
        <w:numPr>
          <w:ilvl w:val="0"/>
          <w:numId w:val="3"/>
        </w:numPr>
        <w:spacing w:after="160"/>
        <w:rPr>
          <w:lang w:eastAsia="ja-JP"/>
        </w:rPr>
      </w:pPr>
      <w:r>
        <w:rPr>
          <w:lang w:eastAsia="ja-JP"/>
        </w:rPr>
        <w:t>act as an advocate for the represented person</w:t>
      </w:r>
    </w:p>
    <w:p w14:paraId="1789038F" w14:textId="77777777" w:rsidR="00575012" w:rsidRDefault="00575012" w:rsidP="00575012">
      <w:pPr>
        <w:pStyle w:val="ListParagraph"/>
        <w:numPr>
          <w:ilvl w:val="0"/>
          <w:numId w:val="3"/>
        </w:numPr>
        <w:spacing w:after="160"/>
        <w:rPr>
          <w:lang w:eastAsia="ja-JP"/>
        </w:rPr>
      </w:pPr>
      <w:r>
        <w:rPr>
          <w:lang w:eastAsia="ja-JP"/>
        </w:rPr>
        <w:t>encourage and assist the represented person to develop the person’s decision-making capacity in relation to financial matters</w:t>
      </w:r>
    </w:p>
    <w:p w14:paraId="7E5A4190" w14:textId="77777777" w:rsidR="00575012" w:rsidRDefault="00575012" w:rsidP="00575012">
      <w:pPr>
        <w:pStyle w:val="ListParagraph"/>
        <w:numPr>
          <w:ilvl w:val="0"/>
          <w:numId w:val="3"/>
        </w:numPr>
        <w:spacing w:after="160"/>
        <w:rPr>
          <w:lang w:eastAsia="ja-JP"/>
        </w:rPr>
      </w:pPr>
      <w:r>
        <w:rPr>
          <w:lang w:eastAsia="ja-JP"/>
        </w:rPr>
        <w:t>act in such a way so to protect the represented person from neglect, abuse or exploitation</w:t>
      </w:r>
    </w:p>
    <w:p w14:paraId="67922F7D" w14:textId="77777777" w:rsidR="00575012" w:rsidRDefault="00575012" w:rsidP="00575012">
      <w:pPr>
        <w:pStyle w:val="ListParagraph"/>
        <w:numPr>
          <w:ilvl w:val="0"/>
          <w:numId w:val="3"/>
        </w:numPr>
        <w:spacing w:after="160"/>
        <w:rPr>
          <w:lang w:eastAsia="ja-JP"/>
        </w:rPr>
      </w:pPr>
      <w:r>
        <w:rPr>
          <w:lang w:eastAsia="ja-JP"/>
        </w:rPr>
        <w:t>act honestly, diligently and in good faith</w:t>
      </w:r>
    </w:p>
    <w:p w14:paraId="6E34CA1D" w14:textId="77777777" w:rsidR="00575012" w:rsidRDefault="00575012" w:rsidP="00575012">
      <w:pPr>
        <w:pStyle w:val="ListParagraph"/>
        <w:numPr>
          <w:ilvl w:val="0"/>
          <w:numId w:val="3"/>
        </w:numPr>
        <w:spacing w:after="160"/>
        <w:rPr>
          <w:lang w:eastAsia="ja-JP"/>
        </w:rPr>
      </w:pPr>
      <w:r>
        <w:rPr>
          <w:lang w:eastAsia="ja-JP"/>
        </w:rPr>
        <w:t>exercise reasonable skill and care</w:t>
      </w:r>
    </w:p>
    <w:p w14:paraId="7A3AB677" w14:textId="77777777" w:rsidR="00575012" w:rsidRPr="00D9598B" w:rsidRDefault="00575012" w:rsidP="00575012">
      <w:pPr>
        <w:pStyle w:val="ListParagraph"/>
        <w:numPr>
          <w:ilvl w:val="0"/>
          <w:numId w:val="3"/>
        </w:numPr>
        <w:spacing w:after="160"/>
        <w:rPr>
          <w:lang w:eastAsia="ja-JP"/>
        </w:rPr>
      </w:pPr>
      <w:r>
        <w:rPr>
          <w:lang w:eastAsia="ja-JP"/>
        </w:rPr>
        <w:t xml:space="preserve">not use the position for profit (unless permitted under section 175 </w:t>
      </w:r>
      <w:r w:rsidRPr="00D9598B">
        <w:rPr>
          <w:lang w:eastAsia="ja-JP"/>
        </w:rPr>
        <w:t>or otherwise authorised by law)</w:t>
      </w:r>
    </w:p>
    <w:p w14:paraId="3976DDDB" w14:textId="77777777" w:rsidR="00575012" w:rsidRDefault="00575012" w:rsidP="00575012">
      <w:pPr>
        <w:pStyle w:val="ListParagraph"/>
        <w:numPr>
          <w:ilvl w:val="0"/>
          <w:numId w:val="3"/>
        </w:numPr>
        <w:spacing w:after="160"/>
        <w:rPr>
          <w:lang w:eastAsia="ja-JP"/>
        </w:rPr>
      </w:pPr>
      <w:r>
        <w:rPr>
          <w:lang w:eastAsia="ja-JP"/>
        </w:rPr>
        <w:t>avoid acting if there is or may be a conflict of interest unless so authorised under the GAA, by order of VCAT or otherwise by law</w:t>
      </w:r>
    </w:p>
    <w:p w14:paraId="2029E052" w14:textId="77777777" w:rsidR="00575012" w:rsidRDefault="00575012" w:rsidP="00575012">
      <w:pPr>
        <w:pStyle w:val="ListParagraph"/>
        <w:numPr>
          <w:ilvl w:val="0"/>
          <w:numId w:val="3"/>
        </w:numPr>
        <w:spacing w:after="160"/>
        <w:rPr>
          <w:lang w:eastAsia="ja-JP"/>
        </w:rPr>
      </w:pPr>
      <w:r>
        <w:rPr>
          <w:lang w:eastAsia="ja-JP"/>
        </w:rPr>
        <w:t>not disclose confidential information gained as an administrator unless authorised to do so under the administration order or by law.</w:t>
      </w:r>
    </w:p>
    <w:p w14:paraId="018F6164" w14:textId="77777777" w:rsidR="00575012" w:rsidRDefault="00575012" w:rsidP="00575012">
      <w:pPr>
        <w:rPr>
          <w:lang w:eastAsia="ja-JP"/>
        </w:rPr>
      </w:pPr>
      <w:r>
        <w:rPr>
          <w:lang w:eastAsia="ja-JP"/>
        </w:rPr>
        <w:t>A</w:t>
      </w:r>
      <w:r w:rsidRPr="004A352F">
        <w:rPr>
          <w:lang w:eastAsia="ja-JP"/>
        </w:rPr>
        <w:t>dministrator</w:t>
      </w:r>
      <w:r>
        <w:rPr>
          <w:lang w:eastAsia="ja-JP"/>
        </w:rPr>
        <w:t>s are</w:t>
      </w:r>
      <w:r w:rsidRPr="004A352F">
        <w:rPr>
          <w:lang w:eastAsia="ja-JP"/>
        </w:rPr>
        <w:t xml:space="preserve"> accountable for the decisions </w:t>
      </w:r>
      <w:r>
        <w:rPr>
          <w:lang w:eastAsia="ja-JP"/>
        </w:rPr>
        <w:t>they</w:t>
      </w:r>
      <w:r w:rsidRPr="004A352F">
        <w:rPr>
          <w:lang w:eastAsia="ja-JP"/>
        </w:rPr>
        <w:t xml:space="preserve"> make and must submit accounts every year to VCAT</w:t>
      </w:r>
      <w:r>
        <w:rPr>
          <w:lang w:eastAsia="ja-JP"/>
        </w:rPr>
        <w:t xml:space="preserve">. Administrators </w:t>
      </w:r>
      <w:r w:rsidRPr="001D1C08">
        <w:rPr>
          <w:lang w:eastAsia="ja-JP"/>
        </w:rPr>
        <w:t xml:space="preserve">must submit an Account by Administrator (ABA) each year with details of </w:t>
      </w:r>
      <w:r>
        <w:rPr>
          <w:lang w:eastAsia="ja-JP"/>
        </w:rPr>
        <w:t xml:space="preserve">the represented person’s </w:t>
      </w:r>
      <w:r w:rsidRPr="001D1C08">
        <w:rPr>
          <w:lang w:eastAsia="ja-JP"/>
        </w:rPr>
        <w:t>financial affairs.</w:t>
      </w:r>
    </w:p>
    <w:p w14:paraId="7497E442" w14:textId="77777777" w:rsidR="00575012" w:rsidRDefault="00575012" w:rsidP="00575012">
      <w:pPr>
        <w:rPr>
          <w:lang w:eastAsia="ja-JP"/>
        </w:rPr>
      </w:pPr>
      <w:r w:rsidRPr="00287152">
        <w:rPr>
          <w:lang w:eastAsia="ja-JP"/>
        </w:rPr>
        <w:t>An administrator may apply to VCAT for advice on any matter relating to the scope of the administration order or the exercise of any power under the order.</w:t>
      </w:r>
      <w:r>
        <w:rPr>
          <w:rStyle w:val="FootnoteReference"/>
          <w:lang w:eastAsia="ja-JP"/>
        </w:rPr>
        <w:footnoteReference w:id="22"/>
      </w:r>
    </w:p>
    <w:p w14:paraId="1218B2D6" w14:textId="481A4175" w:rsidR="00575012" w:rsidRDefault="00575012" w:rsidP="00947332">
      <w:pPr>
        <w:pStyle w:val="Heading1"/>
        <w:numPr>
          <w:ilvl w:val="0"/>
          <w:numId w:val="0"/>
        </w:numPr>
        <w:ind w:left="432" w:hanging="432"/>
      </w:pPr>
      <w:r>
        <w:br w:type="page"/>
      </w:r>
    </w:p>
    <w:p w14:paraId="5F2E36F8" w14:textId="5FB77623" w:rsidR="00947332" w:rsidRDefault="00947332" w:rsidP="00947332">
      <w:pPr>
        <w:pStyle w:val="Heading1"/>
        <w:numPr>
          <w:ilvl w:val="0"/>
          <w:numId w:val="0"/>
        </w:numPr>
        <w:ind w:left="432" w:hanging="432"/>
      </w:pPr>
      <w:bookmarkStart w:id="82" w:name="_Toc124917441"/>
      <w:r>
        <w:lastRenderedPageBreak/>
        <w:t xml:space="preserve">Appendix </w:t>
      </w:r>
      <w:r w:rsidR="00575012">
        <w:t>B</w:t>
      </w:r>
      <w:r>
        <w:t>: Proposed remuneration scale</w:t>
      </w:r>
      <w:bookmarkEnd w:id="80"/>
      <w:bookmarkEnd w:id="81"/>
      <w:bookmarkEnd w:id="82"/>
    </w:p>
    <w:p w14:paraId="0AFFACE0" w14:textId="77777777" w:rsidR="00947332" w:rsidRPr="007C26FC" w:rsidRDefault="00947332" w:rsidP="00947332">
      <w:r w:rsidRPr="007C26FC">
        <w:t xml:space="preserve">This section </w:t>
      </w:r>
      <w:r>
        <w:t xml:space="preserve">proposes </w:t>
      </w:r>
      <w:r w:rsidRPr="007C26FC">
        <w:t xml:space="preserve">a remuneration scale </w:t>
      </w:r>
      <w:r>
        <w:t>based on remuneration principles and the information gathered from consultation with stakeholders</w:t>
      </w:r>
      <w:r w:rsidRPr="007C26FC">
        <w:t>.</w:t>
      </w:r>
    </w:p>
    <w:p w14:paraId="0D97CC9E" w14:textId="77777777" w:rsidR="00947332" w:rsidRDefault="00947332" w:rsidP="00947332">
      <w:pPr>
        <w:pStyle w:val="Heading2"/>
        <w:numPr>
          <w:ilvl w:val="0"/>
          <w:numId w:val="0"/>
        </w:numPr>
        <w:ind w:left="576" w:hanging="576"/>
      </w:pPr>
      <w:bookmarkStart w:id="83" w:name="_Toc117064510"/>
      <w:bookmarkStart w:id="84" w:name="_Toc115704196"/>
      <w:bookmarkStart w:id="85" w:name="_Toc124831385"/>
      <w:bookmarkStart w:id="86" w:name="_Toc124917442"/>
      <w:r>
        <w:t>Application</w:t>
      </w:r>
      <w:bookmarkEnd w:id="83"/>
      <w:bookmarkEnd w:id="84"/>
      <w:bookmarkEnd w:id="85"/>
      <w:bookmarkEnd w:id="86"/>
    </w:p>
    <w:p w14:paraId="13918891" w14:textId="77777777" w:rsidR="00947332" w:rsidRDefault="00947332" w:rsidP="00947332">
      <w:r>
        <w:t xml:space="preserve">This remuneration scale would apply to all administration orders where the administrator (being an individual or a body corporate) </w:t>
      </w:r>
      <w:r w:rsidRPr="005B3395">
        <w:t>carries on a business of, or including, the administration of estates</w:t>
      </w:r>
      <w:r>
        <w:t>, except the scale does not apply to:</w:t>
      </w:r>
    </w:p>
    <w:p w14:paraId="5130DADF" w14:textId="77777777" w:rsidR="00947332" w:rsidRDefault="00947332" w:rsidP="00947332">
      <w:pPr>
        <w:pStyle w:val="ListParagraph"/>
        <w:numPr>
          <w:ilvl w:val="0"/>
          <w:numId w:val="3"/>
        </w:numPr>
        <w:spacing w:after="160"/>
        <w:rPr>
          <w:lang w:eastAsia="ja-JP"/>
        </w:rPr>
      </w:pPr>
      <w:r>
        <w:rPr>
          <w:lang w:eastAsia="ja-JP"/>
        </w:rPr>
        <w:t xml:space="preserve">State Trustees Limited </w:t>
      </w:r>
    </w:p>
    <w:p w14:paraId="5A497FB1" w14:textId="77777777" w:rsidR="00947332" w:rsidRDefault="00947332" w:rsidP="00947332">
      <w:pPr>
        <w:pStyle w:val="ListParagraph"/>
        <w:numPr>
          <w:ilvl w:val="0"/>
          <w:numId w:val="3"/>
        </w:numPr>
        <w:spacing w:after="160"/>
        <w:rPr>
          <w:lang w:eastAsia="ja-JP"/>
        </w:rPr>
      </w:pPr>
      <w:r>
        <w:rPr>
          <w:lang w:eastAsia="ja-JP"/>
        </w:rPr>
        <w:t>a trustee company within the meaning of section 601RAA of the Corporations Act</w:t>
      </w:r>
    </w:p>
    <w:p w14:paraId="50B48B9B" w14:textId="77777777" w:rsidR="00947332" w:rsidRDefault="00947332" w:rsidP="00947332">
      <w:pPr>
        <w:pStyle w:val="ListParagraph"/>
        <w:numPr>
          <w:ilvl w:val="0"/>
          <w:numId w:val="3"/>
        </w:numPr>
        <w:spacing w:after="160"/>
        <w:rPr>
          <w:lang w:eastAsia="ja-JP"/>
        </w:rPr>
      </w:pPr>
      <w:r>
        <w:rPr>
          <w:lang w:eastAsia="ja-JP"/>
        </w:rPr>
        <w:t>an administration order that VCAT determines is not subject to this scale.</w:t>
      </w:r>
    </w:p>
    <w:p w14:paraId="395C9F23" w14:textId="77777777" w:rsidR="00947332" w:rsidRDefault="00947332" w:rsidP="00947332">
      <w:pPr>
        <w:pStyle w:val="Heading2"/>
        <w:numPr>
          <w:ilvl w:val="0"/>
          <w:numId w:val="0"/>
        </w:numPr>
        <w:ind w:left="576" w:hanging="576"/>
      </w:pPr>
      <w:bookmarkStart w:id="87" w:name="_Toc117064511"/>
      <w:bookmarkStart w:id="88" w:name="_Toc115704197"/>
      <w:bookmarkStart w:id="89" w:name="_Toc124831386"/>
      <w:bookmarkStart w:id="90" w:name="_Toc124917443"/>
      <w:r>
        <w:t>Payment for acting as administrator</w:t>
      </w:r>
      <w:bookmarkEnd w:id="87"/>
      <w:bookmarkEnd w:id="88"/>
      <w:bookmarkEnd w:id="89"/>
      <w:bookmarkEnd w:id="90"/>
    </w:p>
    <w:p w14:paraId="3151D5C9" w14:textId="484E4AEC" w:rsidR="00947332" w:rsidRDefault="00947332" w:rsidP="00947332">
      <w:r>
        <w:t xml:space="preserve">The amount the administrator </w:t>
      </w:r>
      <w:r w:rsidRPr="001D6314">
        <w:t>is entitled to payment (including GST) from the funds of</w:t>
      </w:r>
      <w:r>
        <w:t xml:space="preserve"> the represented person is shown below.</w:t>
      </w:r>
    </w:p>
    <w:p w14:paraId="2B835238" w14:textId="77777777" w:rsidR="00947332" w:rsidRDefault="00947332" w:rsidP="00947332">
      <w:r w:rsidRPr="001F08AD">
        <w:rPr>
          <w:b/>
        </w:rPr>
        <w:t>$300 per hour</w:t>
      </w:r>
      <w:r>
        <w:rPr>
          <w:rStyle w:val="FootnoteReference"/>
          <w:b/>
          <w:bCs/>
        </w:rPr>
        <w:footnoteReference w:id="23"/>
      </w:r>
      <w:r>
        <w:t xml:space="preserve"> for any of the following tasks:</w:t>
      </w:r>
    </w:p>
    <w:p w14:paraId="67F5EBC8" w14:textId="77777777" w:rsidR="00947332" w:rsidRDefault="00947332" w:rsidP="00947332">
      <w:pPr>
        <w:pStyle w:val="ListParagraph"/>
        <w:numPr>
          <w:ilvl w:val="0"/>
          <w:numId w:val="18"/>
        </w:numPr>
        <w:spacing w:after="160" w:line="259" w:lineRule="auto"/>
        <w:ind w:left="567" w:hanging="567"/>
        <w:contextualSpacing/>
      </w:pPr>
      <w:r>
        <w:t>Attending a VCAT hearing for appointment of administrator</w:t>
      </w:r>
    </w:p>
    <w:p w14:paraId="606355C2" w14:textId="77777777" w:rsidR="00947332" w:rsidRDefault="00947332" w:rsidP="00947332">
      <w:pPr>
        <w:pStyle w:val="ListParagraph"/>
        <w:numPr>
          <w:ilvl w:val="0"/>
          <w:numId w:val="18"/>
        </w:numPr>
        <w:spacing w:after="160" w:line="259" w:lineRule="auto"/>
        <w:ind w:left="567" w:hanging="567"/>
        <w:contextualSpacing/>
      </w:pPr>
      <w:r>
        <w:t>Establishing an understanding about the represented person’s income, expenses, assets, and liabilities</w:t>
      </w:r>
    </w:p>
    <w:p w14:paraId="5DDDE837" w14:textId="77777777" w:rsidR="00947332" w:rsidRDefault="00947332" w:rsidP="00947332">
      <w:pPr>
        <w:pStyle w:val="ListParagraph"/>
        <w:numPr>
          <w:ilvl w:val="0"/>
          <w:numId w:val="18"/>
        </w:numPr>
        <w:spacing w:after="160" w:line="259" w:lineRule="auto"/>
        <w:ind w:left="567" w:hanging="567"/>
        <w:contextualSpacing/>
      </w:pPr>
      <w:r>
        <w:t>Establishing an understanding about the represented person’s will and preferences for spending, gifting, managing assets and liabilities</w:t>
      </w:r>
    </w:p>
    <w:p w14:paraId="25225FAC" w14:textId="77777777" w:rsidR="00947332" w:rsidRDefault="00947332" w:rsidP="00947332">
      <w:pPr>
        <w:pStyle w:val="ListParagraph"/>
        <w:numPr>
          <w:ilvl w:val="0"/>
          <w:numId w:val="18"/>
        </w:numPr>
        <w:spacing w:after="160" w:line="259" w:lineRule="auto"/>
        <w:ind w:left="567" w:hanging="567"/>
        <w:contextualSpacing/>
      </w:pPr>
      <w:r>
        <w:t>Establishing an understanding about whether the represented person has a NDIS plan in place, or whether they require one, and who will manage this process</w:t>
      </w:r>
    </w:p>
    <w:p w14:paraId="32BD0D38" w14:textId="713B331E" w:rsidR="00947332" w:rsidRDefault="00947332" w:rsidP="00947332">
      <w:pPr>
        <w:pStyle w:val="ListParagraph"/>
        <w:numPr>
          <w:ilvl w:val="0"/>
          <w:numId w:val="18"/>
        </w:numPr>
        <w:spacing w:after="160" w:line="259" w:lineRule="auto"/>
        <w:ind w:left="567" w:hanging="567"/>
        <w:contextualSpacing/>
      </w:pPr>
      <w:r>
        <w:t>Meeting with a represented person’s guardian, determining decisions to be made by</w:t>
      </w:r>
      <w:r w:rsidR="00AC3FEE">
        <w:t xml:space="preserve"> the</w:t>
      </w:r>
      <w:r>
        <w:t xml:space="preserve"> guardian and likely impact on finances</w:t>
      </w:r>
    </w:p>
    <w:p w14:paraId="19B0FEFA" w14:textId="77777777" w:rsidR="00947332" w:rsidRDefault="00947332" w:rsidP="00947332">
      <w:pPr>
        <w:pStyle w:val="ListParagraph"/>
        <w:numPr>
          <w:ilvl w:val="0"/>
          <w:numId w:val="18"/>
        </w:numPr>
        <w:spacing w:after="160" w:line="259" w:lineRule="auto"/>
        <w:ind w:left="567" w:hanging="567"/>
        <w:contextualSpacing/>
      </w:pPr>
      <w:r>
        <w:t>Communicating with relevant authorities, Centrelink, banks, financial advisors, etc – online or in person – to notify them that the administrator has been appointed by VCAT</w:t>
      </w:r>
    </w:p>
    <w:p w14:paraId="36328A4C" w14:textId="77777777" w:rsidR="00947332" w:rsidRDefault="00947332" w:rsidP="00947332">
      <w:pPr>
        <w:pStyle w:val="ListParagraph"/>
        <w:numPr>
          <w:ilvl w:val="0"/>
          <w:numId w:val="18"/>
        </w:numPr>
        <w:spacing w:after="160" w:line="259" w:lineRule="auto"/>
        <w:ind w:left="567" w:hanging="567"/>
        <w:contextualSpacing/>
      </w:pPr>
      <w:r>
        <w:t>If necessary, replacing the represented person as director of a company or other role (such as appointor of discretionary trust), unless other provisions have been made for those roles (include seeking legal advice on performance of role)</w:t>
      </w:r>
    </w:p>
    <w:p w14:paraId="4BF05868" w14:textId="77777777" w:rsidR="00947332" w:rsidRDefault="00947332" w:rsidP="00947332">
      <w:pPr>
        <w:pStyle w:val="ListParagraph"/>
        <w:numPr>
          <w:ilvl w:val="0"/>
          <w:numId w:val="18"/>
        </w:numPr>
        <w:spacing w:after="160" w:line="259" w:lineRule="auto"/>
        <w:ind w:left="567" w:hanging="567"/>
        <w:contextualSpacing/>
      </w:pPr>
      <w:r>
        <w:t>Deciding whether the represented person is able to have access to any funds, or manage any of the tasks themselves</w:t>
      </w:r>
    </w:p>
    <w:p w14:paraId="5E7C5C9B" w14:textId="77777777" w:rsidR="00947332" w:rsidRDefault="00947332" w:rsidP="00947332">
      <w:pPr>
        <w:pStyle w:val="ListParagraph"/>
        <w:numPr>
          <w:ilvl w:val="0"/>
          <w:numId w:val="18"/>
        </w:numPr>
        <w:spacing w:after="160" w:line="259" w:lineRule="auto"/>
        <w:ind w:left="567" w:hanging="567"/>
        <w:contextualSpacing/>
      </w:pPr>
      <w:r>
        <w:t>Deciding whether any restructure of bank accounts is required, establishing if the represented person has any joint ownership arrangements, and how these will be managed</w:t>
      </w:r>
    </w:p>
    <w:p w14:paraId="63F98371" w14:textId="77777777" w:rsidR="00947332" w:rsidRDefault="00947332" w:rsidP="00947332">
      <w:pPr>
        <w:pStyle w:val="ListParagraph"/>
        <w:numPr>
          <w:ilvl w:val="0"/>
          <w:numId w:val="18"/>
        </w:numPr>
        <w:spacing w:after="160" w:line="259" w:lineRule="auto"/>
        <w:ind w:left="567" w:hanging="567"/>
        <w:contextualSpacing/>
      </w:pPr>
      <w:r>
        <w:t>Reviewing, approving and lodging a Financial Statement and Plan</w:t>
      </w:r>
    </w:p>
    <w:p w14:paraId="76347DC9" w14:textId="77777777" w:rsidR="00947332" w:rsidRDefault="00947332" w:rsidP="00947332">
      <w:pPr>
        <w:pStyle w:val="ListParagraph"/>
        <w:numPr>
          <w:ilvl w:val="0"/>
          <w:numId w:val="18"/>
        </w:numPr>
        <w:spacing w:after="160" w:line="259" w:lineRule="auto"/>
        <w:ind w:left="567" w:hanging="567"/>
        <w:contextualSpacing/>
      </w:pPr>
      <w:r>
        <w:t>Negotiating/making arrangements with debtors</w:t>
      </w:r>
    </w:p>
    <w:p w14:paraId="56CA6BE6" w14:textId="77777777" w:rsidR="00947332" w:rsidRDefault="00947332" w:rsidP="00947332">
      <w:pPr>
        <w:pStyle w:val="ListParagraph"/>
        <w:numPr>
          <w:ilvl w:val="0"/>
          <w:numId w:val="18"/>
        </w:numPr>
        <w:spacing w:after="160" w:line="259" w:lineRule="auto"/>
        <w:ind w:left="567" w:hanging="567"/>
        <w:contextualSpacing/>
      </w:pPr>
      <w:r>
        <w:t>Carrying on a business of the represented person</w:t>
      </w:r>
    </w:p>
    <w:p w14:paraId="2E9A3557" w14:textId="77777777" w:rsidR="00947332" w:rsidRPr="009D6B26" w:rsidRDefault="00947332" w:rsidP="00947332">
      <w:pPr>
        <w:pStyle w:val="ListParagraph"/>
        <w:numPr>
          <w:ilvl w:val="0"/>
          <w:numId w:val="18"/>
        </w:numPr>
        <w:spacing w:after="160" w:line="259" w:lineRule="auto"/>
        <w:ind w:left="567" w:hanging="567"/>
        <w:contextualSpacing/>
      </w:pPr>
      <w:r>
        <w:t>Attending reassessment hearings at VCAT</w:t>
      </w:r>
    </w:p>
    <w:p w14:paraId="6CFD1BD3" w14:textId="77777777" w:rsidR="00947332" w:rsidRDefault="00947332" w:rsidP="00947332">
      <w:pPr>
        <w:pStyle w:val="ListParagraph"/>
        <w:numPr>
          <w:ilvl w:val="0"/>
          <w:numId w:val="18"/>
        </w:numPr>
        <w:spacing w:after="160" w:line="259" w:lineRule="auto"/>
        <w:ind w:left="567" w:hanging="567"/>
        <w:contextualSpacing/>
      </w:pPr>
      <w:r>
        <w:lastRenderedPageBreak/>
        <w:t>Communicating with VCAT about any major decision for which an administrator requires approval or advice for prior to undertaking the transaction (e.g., large gifts or loans, change of ownership of assets e.g., from joint to sole, in some cases, sale of property).</w:t>
      </w:r>
    </w:p>
    <w:p w14:paraId="452169F5" w14:textId="77777777" w:rsidR="00947332" w:rsidRDefault="00947332" w:rsidP="00947332">
      <w:r w:rsidRPr="001D6314">
        <w:rPr>
          <w:b/>
          <w:bCs/>
        </w:rPr>
        <w:t>$</w:t>
      </w:r>
      <w:r>
        <w:rPr>
          <w:b/>
          <w:bCs/>
        </w:rPr>
        <w:t>10</w:t>
      </w:r>
      <w:r w:rsidRPr="001D6314">
        <w:rPr>
          <w:b/>
          <w:bCs/>
        </w:rPr>
        <w:t>0 per hour</w:t>
      </w:r>
      <w:r>
        <w:t xml:space="preserve"> for any of the following tasks:</w:t>
      </w:r>
    </w:p>
    <w:p w14:paraId="2DEAC308" w14:textId="77777777" w:rsidR="00947332" w:rsidRDefault="00947332" w:rsidP="00947332">
      <w:pPr>
        <w:pStyle w:val="ListParagraph"/>
        <w:numPr>
          <w:ilvl w:val="0"/>
          <w:numId w:val="18"/>
        </w:numPr>
        <w:spacing w:after="160" w:line="259" w:lineRule="auto"/>
        <w:ind w:left="567" w:hanging="567"/>
        <w:contextualSpacing/>
      </w:pPr>
      <w:r>
        <w:t>Securing, taking possession, or collecting assets</w:t>
      </w:r>
    </w:p>
    <w:p w14:paraId="2248DA62" w14:textId="77777777" w:rsidR="00947332" w:rsidRDefault="00947332" w:rsidP="00947332">
      <w:pPr>
        <w:pStyle w:val="ListParagraph"/>
        <w:numPr>
          <w:ilvl w:val="0"/>
          <w:numId w:val="19"/>
        </w:numPr>
        <w:spacing w:after="160" w:line="259" w:lineRule="auto"/>
        <w:ind w:left="567" w:hanging="567"/>
        <w:contextualSpacing/>
      </w:pPr>
      <w:r>
        <w:t>Locating the represented person’s Will</w:t>
      </w:r>
    </w:p>
    <w:p w14:paraId="5FEE9839" w14:textId="77777777" w:rsidR="00947332" w:rsidRDefault="00947332" w:rsidP="00947332">
      <w:pPr>
        <w:pStyle w:val="ListParagraph"/>
        <w:numPr>
          <w:ilvl w:val="0"/>
          <w:numId w:val="19"/>
        </w:numPr>
        <w:spacing w:after="160" w:line="259" w:lineRule="auto"/>
        <w:ind w:left="567" w:hanging="567"/>
        <w:contextualSpacing/>
      </w:pPr>
      <w:r>
        <w:t>Collecting income (e.g., dealing with Centrelink concerning payment failures/errors)</w:t>
      </w:r>
    </w:p>
    <w:p w14:paraId="5F52AC81" w14:textId="77777777" w:rsidR="00947332" w:rsidRDefault="00947332" w:rsidP="00947332">
      <w:pPr>
        <w:pStyle w:val="ListParagraph"/>
        <w:numPr>
          <w:ilvl w:val="0"/>
          <w:numId w:val="19"/>
        </w:numPr>
        <w:spacing w:after="160" w:line="259" w:lineRule="auto"/>
        <w:ind w:left="567" w:hanging="567"/>
        <w:contextualSpacing/>
      </w:pPr>
      <w:r>
        <w:t>Paying accounts</w:t>
      </w:r>
    </w:p>
    <w:p w14:paraId="01B0BCFD" w14:textId="77777777" w:rsidR="00947332" w:rsidRDefault="00947332" w:rsidP="00947332">
      <w:pPr>
        <w:pStyle w:val="ListParagraph"/>
        <w:numPr>
          <w:ilvl w:val="0"/>
          <w:numId w:val="19"/>
        </w:numPr>
        <w:spacing w:after="160" w:line="259" w:lineRule="auto"/>
        <w:ind w:left="567" w:hanging="567"/>
        <w:contextualSpacing/>
      </w:pPr>
      <w:r>
        <w:t>Maintaining records of all income and expenditure</w:t>
      </w:r>
    </w:p>
    <w:p w14:paraId="744EED81" w14:textId="77777777" w:rsidR="00947332" w:rsidRPr="007C26FC" w:rsidRDefault="00947332" w:rsidP="00947332">
      <w:pPr>
        <w:pStyle w:val="ListParagraph"/>
        <w:numPr>
          <w:ilvl w:val="0"/>
          <w:numId w:val="19"/>
        </w:numPr>
        <w:spacing w:after="160" w:line="259" w:lineRule="auto"/>
        <w:ind w:left="567" w:hanging="567"/>
        <w:contextualSpacing/>
      </w:pPr>
      <w:r w:rsidRPr="007C26FC">
        <w:t>Managing assets and liabilities</w:t>
      </w:r>
    </w:p>
    <w:p w14:paraId="12FA6587" w14:textId="77777777" w:rsidR="00947332" w:rsidRPr="007C26FC" w:rsidRDefault="00947332" w:rsidP="00947332">
      <w:pPr>
        <w:pStyle w:val="ListParagraph"/>
        <w:numPr>
          <w:ilvl w:val="0"/>
          <w:numId w:val="19"/>
        </w:numPr>
        <w:spacing w:after="160" w:line="259" w:lineRule="auto"/>
        <w:ind w:left="567" w:hanging="567"/>
        <w:contextualSpacing/>
      </w:pPr>
      <w:r w:rsidRPr="007C26FC">
        <w:t>Managing and maintaining real estate</w:t>
      </w:r>
    </w:p>
    <w:p w14:paraId="2B15B998" w14:textId="77777777" w:rsidR="00947332" w:rsidRPr="007C26FC" w:rsidRDefault="00947332" w:rsidP="00947332">
      <w:pPr>
        <w:pStyle w:val="ListParagraph"/>
        <w:numPr>
          <w:ilvl w:val="0"/>
          <w:numId w:val="19"/>
        </w:numPr>
        <w:spacing w:after="160" w:line="259" w:lineRule="auto"/>
        <w:ind w:left="567" w:hanging="567"/>
        <w:contextualSpacing/>
      </w:pPr>
      <w:r w:rsidRPr="007C26FC">
        <w:t>Purchasing or selling real estate</w:t>
      </w:r>
    </w:p>
    <w:p w14:paraId="7B7DD5FB" w14:textId="77777777" w:rsidR="00947332" w:rsidRDefault="00947332" w:rsidP="00947332">
      <w:pPr>
        <w:pStyle w:val="ListParagraph"/>
        <w:numPr>
          <w:ilvl w:val="0"/>
          <w:numId w:val="19"/>
        </w:numPr>
        <w:spacing w:after="160" w:line="259" w:lineRule="auto"/>
        <w:ind w:left="567" w:hanging="567"/>
        <w:contextualSpacing/>
      </w:pPr>
      <w:r>
        <w:t>Renting out real estate, dealing with agents</w:t>
      </w:r>
    </w:p>
    <w:p w14:paraId="2586EF41" w14:textId="77777777" w:rsidR="00947332" w:rsidRDefault="00947332" w:rsidP="00947332">
      <w:pPr>
        <w:pStyle w:val="ListParagraph"/>
        <w:numPr>
          <w:ilvl w:val="0"/>
          <w:numId w:val="19"/>
        </w:numPr>
        <w:spacing w:after="160" w:line="259" w:lineRule="auto"/>
        <w:ind w:left="567" w:hanging="567"/>
        <w:contextualSpacing/>
      </w:pPr>
      <w:r>
        <w:t>Surrendering life assurance policies</w:t>
      </w:r>
    </w:p>
    <w:p w14:paraId="449547D6" w14:textId="77777777" w:rsidR="00947332" w:rsidRDefault="00947332" w:rsidP="00947332">
      <w:pPr>
        <w:pStyle w:val="ListParagraph"/>
        <w:numPr>
          <w:ilvl w:val="0"/>
          <w:numId w:val="19"/>
        </w:numPr>
        <w:spacing w:after="160" w:line="259" w:lineRule="auto"/>
        <w:ind w:left="567" w:hanging="567"/>
        <w:contextualSpacing/>
      </w:pPr>
      <w:r>
        <w:t>Insuring property and other assets</w:t>
      </w:r>
    </w:p>
    <w:p w14:paraId="2DF1B190" w14:textId="77777777" w:rsidR="00947332" w:rsidRDefault="00947332" w:rsidP="00947332">
      <w:pPr>
        <w:pStyle w:val="ListParagraph"/>
        <w:numPr>
          <w:ilvl w:val="0"/>
          <w:numId w:val="19"/>
        </w:numPr>
        <w:spacing w:after="160" w:line="259" w:lineRule="auto"/>
        <w:ind w:left="567" w:hanging="567"/>
        <w:contextualSpacing/>
      </w:pPr>
      <w:r>
        <w:t>Paying debts</w:t>
      </w:r>
    </w:p>
    <w:p w14:paraId="2C35AC78" w14:textId="77777777" w:rsidR="00947332" w:rsidRDefault="00947332" w:rsidP="00947332">
      <w:pPr>
        <w:pStyle w:val="ListParagraph"/>
        <w:numPr>
          <w:ilvl w:val="0"/>
          <w:numId w:val="19"/>
        </w:numPr>
        <w:spacing w:after="160" w:line="259" w:lineRule="auto"/>
        <w:ind w:left="567" w:hanging="567"/>
        <w:contextualSpacing/>
      </w:pPr>
      <w:r>
        <w:t>Recovering debts owed to the represented person</w:t>
      </w:r>
    </w:p>
    <w:p w14:paraId="22263231" w14:textId="77777777" w:rsidR="00947332" w:rsidRDefault="00947332" w:rsidP="00947332">
      <w:pPr>
        <w:pStyle w:val="ListParagraph"/>
        <w:numPr>
          <w:ilvl w:val="0"/>
          <w:numId w:val="19"/>
        </w:numPr>
        <w:spacing w:after="160" w:line="259" w:lineRule="auto"/>
        <w:ind w:left="567" w:hanging="567"/>
        <w:contextualSpacing/>
      </w:pPr>
      <w:r>
        <w:t>Discharging mortgages</w:t>
      </w:r>
    </w:p>
    <w:p w14:paraId="2E6036ED" w14:textId="77951FEA" w:rsidR="00947332" w:rsidRDefault="00947332" w:rsidP="00947332">
      <w:pPr>
        <w:pStyle w:val="ListParagraph"/>
        <w:numPr>
          <w:ilvl w:val="0"/>
          <w:numId w:val="19"/>
        </w:numPr>
        <w:spacing w:after="160" w:line="259" w:lineRule="auto"/>
        <w:ind w:left="567" w:hanging="567"/>
        <w:contextualSpacing/>
      </w:pPr>
      <w:r>
        <w:t>Ensuring that the represented person receives their entitlements to any deceased estates to which they are a beneficiary</w:t>
      </w:r>
    </w:p>
    <w:p w14:paraId="3C27F39F" w14:textId="77777777" w:rsidR="00947332" w:rsidRDefault="00947332" w:rsidP="00947332">
      <w:pPr>
        <w:pStyle w:val="ListParagraph"/>
        <w:numPr>
          <w:ilvl w:val="0"/>
          <w:numId w:val="19"/>
        </w:numPr>
        <w:spacing w:after="160" w:line="259" w:lineRule="auto"/>
        <w:ind w:left="567" w:hanging="567"/>
        <w:contextualSpacing/>
      </w:pPr>
      <w:r>
        <w:t>Preparing and lodging tax returns</w:t>
      </w:r>
    </w:p>
    <w:p w14:paraId="63B9E636" w14:textId="77777777" w:rsidR="00947332" w:rsidRDefault="00947332" w:rsidP="00947332">
      <w:pPr>
        <w:pStyle w:val="ListParagraph"/>
        <w:numPr>
          <w:ilvl w:val="0"/>
          <w:numId w:val="19"/>
        </w:numPr>
        <w:spacing w:after="160" w:line="259" w:lineRule="auto"/>
        <w:ind w:left="567" w:hanging="567"/>
        <w:contextualSpacing/>
      </w:pPr>
      <w:r>
        <w:t>Recording transactions and filing/safe custody of documentation</w:t>
      </w:r>
    </w:p>
    <w:p w14:paraId="6DC1A272" w14:textId="77777777" w:rsidR="00947332" w:rsidRDefault="00947332" w:rsidP="00947332">
      <w:pPr>
        <w:pStyle w:val="ListParagraph"/>
        <w:numPr>
          <w:ilvl w:val="0"/>
          <w:numId w:val="19"/>
        </w:numPr>
        <w:spacing w:after="160" w:line="259" w:lineRule="auto"/>
        <w:ind w:left="567" w:hanging="567"/>
        <w:contextualSpacing/>
      </w:pPr>
      <w:r>
        <w:t>Preparing and lodging an annual Account by Administrator.</w:t>
      </w:r>
    </w:p>
    <w:p w14:paraId="3881E0C8" w14:textId="77777777" w:rsidR="00947332" w:rsidRDefault="00947332" w:rsidP="00947332">
      <w:pPr>
        <w:rPr>
          <w:lang w:eastAsia="ja-JP"/>
        </w:rPr>
      </w:pPr>
      <w:r w:rsidRPr="00D30A90">
        <w:rPr>
          <w:b/>
          <w:bCs/>
          <w:lang w:eastAsia="ja-JP"/>
        </w:rPr>
        <w:t xml:space="preserve">No </w:t>
      </w:r>
      <w:r>
        <w:rPr>
          <w:b/>
          <w:bCs/>
          <w:lang w:eastAsia="ja-JP"/>
        </w:rPr>
        <w:t>payment</w:t>
      </w:r>
      <w:r>
        <w:rPr>
          <w:lang w:eastAsia="ja-JP"/>
        </w:rPr>
        <w:t xml:space="preserve"> would be charged for:</w:t>
      </w:r>
    </w:p>
    <w:p w14:paraId="69992BC0" w14:textId="77777777" w:rsidR="00947332" w:rsidRDefault="00947332" w:rsidP="00947332">
      <w:pPr>
        <w:pStyle w:val="ListParagraph"/>
        <w:numPr>
          <w:ilvl w:val="0"/>
          <w:numId w:val="19"/>
        </w:numPr>
        <w:spacing w:after="160" w:line="259" w:lineRule="auto"/>
        <w:ind w:left="567" w:hanging="567"/>
        <w:contextualSpacing/>
      </w:pPr>
      <w:r>
        <w:t>Making appointments</w:t>
      </w:r>
    </w:p>
    <w:p w14:paraId="34304F73" w14:textId="2EF6514A" w:rsidR="00947332" w:rsidRDefault="00947332" w:rsidP="00947332">
      <w:pPr>
        <w:pStyle w:val="ListParagraph"/>
        <w:numPr>
          <w:ilvl w:val="0"/>
          <w:numId w:val="19"/>
        </w:numPr>
        <w:spacing w:after="160" w:line="259" w:lineRule="auto"/>
        <w:ind w:left="567" w:hanging="567"/>
        <w:contextualSpacing/>
      </w:pPr>
      <w:r>
        <w:t>Attendances (including by phone) with the represented person that are not about their will and preference, or are necessary to perform/complete some tasks</w:t>
      </w:r>
    </w:p>
    <w:p w14:paraId="3C64BB6E" w14:textId="77777777" w:rsidR="00947332" w:rsidRDefault="00947332" w:rsidP="00947332">
      <w:pPr>
        <w:pStyle w:val="ListParagraph"/>
        <w:numPr>
          <w:ilvl w:val="0"/>
          <w:numId w:val="19"/>
        </w:numPr>
        <w:spacing w:after="160" w:line="259" w:lineRule="auto"/>
        <w:ind w:left="567" w:hanging="567"/>
        <w:contextualSpacing/>
        <w:rPr>
          <w:lang w:eastAsia="ja-JP"/>
        </w:rPr>
      </w:pPr>
      <w:r>
        <w:t>Sending/receiving documents by email or fax, where a fee can already be charged for the preparation</w:t>
      </w:r>
      <w:r>
        <w:rPr>
          <w:lang w:eastAsia="ja-JP"/>
        </w:rPr>
        <w:t>, review or obtaining of the document.</w:t>
      </w:r>
    </w:p>
    <w:p w14:paraId="7F773DD4" w14:textId="77777777" w:rsidR="00947332" w:rsidRDefault="00947332" w:rsidP="00947332">
      <w:pPr>
        <w:rPr>
          <w:lang w:eastAsia="ja-JP"/>
        </w:rPr>
      </w:pPr>
      <w:r>
        <w:rPr>
          <w:lang w:eastAsia="ja-JP"/>
        </w:rPr>
        <w:t>However, total payment shall not exceed, unless VCAT otherwise approves:</w:t>
      </w:r>
    </w:p>
    <w:p w14:paraId="1C8BEA2D" w14:textId="77777777" w:rsidR="00947332" w:rsidRPr="00947332" w:rsidRDefault="00947332" w:rsidP="00947332">
      <w:pPr>
        <w:pStyle w:val="ListParagraph"/>
        <w:numPr>
          <w:ilvl w:val="0"/>
          <w:numId w:val="19"/>
        </w:numPr>
        <w:spacing w:after="160" w:line="259" w:lineRule="auto"/>
        <w:ind w:left="567" w:hanging="567"/>
        <w:contextualSpacing/>
        <w:rPr>
          <w:bCs/>
        </w:rPr>
      </w:pPr>
      <w:r w:rsidRPr="00947332">
        <w:rPr>
          <w:bCs/>
        </w:rPr>
        <w:t>$8,000 per year of administration</w:t>
      </w:r>
      <w:r w:rsidRPr="00947332">
        <w:rPr>
          <w:bCs/>
          <w:lang w:eastAsia="ja-JP"/>
        </w:rPr>
        <w:t xml:space="preserve"> for all of the above tasks other than </w:t>
      </w:r>
      <w:r w:rsidRPr="00947332">
        <w:rPr>
          <w:bCs/>
        </w:rPr>
        <w:t xml:space="preserve">acting as director, carrying on a business, or other tasks specifically agreed by VCAT </w:t>
      </w:r>
    </w:p>
    <w:p w14:paraId="3EA37313" w14:textId="7D4309E3" w:rsidR="00947332" w:rsidRPr="005A08FE" w:rsidRDefault="00947332" w:rsidP="00947332">
      <w:pPr>
        <w:pStyle w:val="ListParagraph"/>
        <w:numPr>
          <w:ilvl w:val="0"/>
          <w:numId w:val="19"/>
        </w:numPr>
        <w:spacing w:after="160" w:line="259" w:lineRule="auto"/>
        <w:ind w:left="567" w:hanging="567"/>
        <w:contextualSpacing/>
        <w:rPr>
          <w:lang w:eastAsia="ja-JP"/>
        </w:rPr>
      </w:pPr>
      <w:r w:rsidRPr="00947332">
        <w:rPr>
          <w:bCs/>
        </w:rPr>
        <w:t>$2,000 per year of administration if the represented person has assets of less than $20,000 (excluding principal place of residence) and income less than $930 per fortnight</w:t>
      </w:r>
      <w:r w:rsidR="00C6352E">
        <w:rPr>
          <w:bCs/>
        </w:rPr>
        <w:t>.</w:t>
      </w:r>
      <w:r>
        <w:t xml:space="preserve"> </w:t>
      </w:r>
      <w:r w:rsidR="00C6352E">
        <w:t>[</w:t>
      </w:r>
      <w:r>
        <w:t>Note: t</w:t>
      </w:r>
      <w:r w:rsidRPr="005A08FE">
        <w:t xml:space="preserve">his income amount is </w:t>
      </w:r>
      <w:r>
        <w:t>set</w:t>
      </w:r>
      <w:r w:rsidRPr="005A08FE">
        <w:t xml:space="preserve"> to the threshold in the GA (Fees) Regulations 2022.</w:t>
      </w:r>
      <w:r w:rsidR="00C6352E">
        <w:t>]</w:t>
      </w:r>
    </w:p>
    <w:p w14:paraId="1F82789F" w14:textId="741FE399" w:rsidR="00947332" w:rsidRDefault="00947332" w:rsidP="00947332">
      <w:pPr>
        <w:rPr>
          <w:lang w:eastAsia="ja-JP"/>
        </w:rPr>
      </w:pPr>
      <w:r>
        <w:rPr>
          <w:lang w:eastAsia="ja-JP"/>
        </w:rPr>
        <w:t>VCAT can agree to different caps upon application.</w:t>
      </w:r>
    </w:p>
    <w:p w14:paraId="066B543B" w14:textId="5E8B016C" w:rsidR="00962E8B" w:rsidRDefault="00962E8B" w:rsidP="00947332">
      <w:pPr>
        <w:rPr>
          <w:lang w:eastAsia="ja-JP"/>
        </w:rPr>
      </w:pPr>
    </w:p>
    <w:p w14:paraId="15C26999" w14:textId="4363CB80" w:rsidR="00962E8B" w:rsidRDefault="00962E8B" w:rsidP="00947332">
      <w:pPr>
        <w:rPr>
          <w:lang w:eastAsia="ja-JP"/>
        </w:rPr>
      </w:pPr>
    </w:p>
    <w:p w14:paraId="6682D38D" w14:textId="7CC32959" w:rsidR="00962E8B" w:rsidRDefault="00962E8B" w:rsidP="00947332">
      <w:pPr>
        <w:rPr>
          <w:lang w:eastAsia="ja-JP"/>
        </w:rPr>
      </w:pPr>
    </w:p>
    <w:p w14:paraId="66162EDF" w14:textId="77777777" w:rsidR="00962E8B" w:rsidRDefault="00962E8B" w:rsidP="00947332">
      <w:pPr>
        <w:rPr>
          <w:lang w:eastAsia="ja-JP"/>
        </w:rPr>
      </w:pPr>
    </w:p>
    <w:p w14:paraId="3921DF85" w14:textId="77777777" w:rsidR="00962E8B" w:rsidRPr="00962E8B" w:rsidRDefault="00962E8B" w:rsidP="00962E8B">
      <w:pPr>
        <w:rPr>
          <w:rFonts w:eastAsiaTheme="majorEastAsia" w:cstheme="majorBidi"/>
          <w:color w:val="2F5496" w:themeColor="accent1" w:themeShade="BF"/>
          <w:sz w:val="28"/>
          <w:szCs w:val="26"/>
          <w:lang w:eastAsia="ja-JP"/>
        </w:rPr>
      </w:pPr>
      <w:bookmarkStart w:id="91" w:name="_Toc124831377"/>
      <w:r w:rsidRPr="00962E8B">
        <w:rPr>
          <w:rFonts w:eastAsiaTheme="majorEastAsia" w:cstheme="majorBidi"/>
          <w:color w:val="2F5496" w:themeColor="accent1" w:themeShade="BF"/>
          <w:sz w:val="28"/>
          <w:szCs w:val="26"/>
          <w:lang w:eastAsia="ja-JP"/>
        </w:rPr>
        <w:lastRenderedPageBreak/>
        <w:t>The scale will apply only to those administrators carrying on a business that includes administration of estates</w:t>
      </w:r>
      <w:bookmarkEnd w:id="91"/>
    </w:p>
    <w:p w14:paraId="6388B3A0" w14:textId="77777777" w:rsidR="00962E8B" w:rsidRDefault="00962E8B" w:rsidP="00962E8B">
      <w:pPr>
        <w:rPr>
          <w:lang w:eastAsia="ja-JP"/>
        </w:rPr>
      </w:pPr>
      <w:r>
        <w:rPr>
          <w:lang w:eastAsia="ja-JP"/>
        </w:rPr>
        <w:t xml:space="preserve">While the proposed remuneration scale would not apply to State Trustees or licensed trustee companies, it would apply to any other administrator that, according to the GAA, </w:t>
      </w:r>
      <w:r w:rsidRPr="0001474E">
        <w:rPr>
          <w:lang w:eastAsia="ja-JP"/>
        </w:rPr>
        <w:t>carries on a business of, or including, the administration of estates</w:t>
      </w:r>
      <w:r>
        <w:rPr>
          <w:lang w:eastAsia="ja-JP"/>
        </w:rPr>
        <w:t>.</w:t>
      </w:r>
      <w:r>
        <w:rPr>
          <w:rStyle w:val="FootnoteReference"/>
          <w:lang w:eastAsia="ja-JP"/>
        </w:rPr>
        <w:footnoteReference w:id="24"/>
      </w:r>
    </w:p>
    <w:p w14:paraId="0E5FF7D1" w14:textId="77777777" w:rsidR="00962E8B" w:rsidRDefault="00962E8B" w:rsidP="00962E8B">
      <w:pPr>
        <w:rPr>
          <w:lang w:eastAsia="ja-JP"/>
        </w:rPr>
      </w:pPr>
      <w:r>
        <w:rPr>
          <w:lang w:eastAsia="ja-JP"/>
        </w:rPr>
        <w:t>There must be a reasonable connection between the administration of estates and the other business undertaken by the administrator (as opposed to running two separate “businesses” in parallel); this is likely to be satisfied for any professional services business, although it remains a relevant factor that the administration of estates should be part of the business of the administrator, not in substance a separate and distinct activity.</w:t>
      </w:r>
    </w:p>
    <w:p w14:paraId="12B2B59D" w14:textId="1C2063BC" w:rsidR="00962E8B" w:rsidRDefault="00962E8B" w:rsidP="00962E8B">
      <w:pPr>
        <w:rPr>
          <w:lang w:eastAsia="ja-JP"/>
        </w:rPr>
      </w:pPr>
      <w:r>
        <w:rPr>
          <w:lang w:eastAsia="ja-JP"/>
        </w:rPr>
        <w:t>It is also noted that, for the scale to be applicable (or indeed for any remuneration entitlement at all), it is the named administrator who is to be carrying on the business. For example, a Queensland case (which has similar requirements for entitlements to remuneration as Victoria) highlighted that</w:t>
      </w:r>
      <w:r w:rsidR="00E6197B">
        <w:rPr>
          <w:lang w:eastAsia="ja-JP"/>
        </w:rPr>
        <w:t>,</w:t>
      </w:r>
      <w:r>
        <w:rPr>
          <w:lang w:eastAsia="ja-JP"/>
        </w:rPr>
        <w:t xml:space="preserve"> where a proposed administrator was only an employee of a professional firm, and would be paid by the firm for her time performing administration work and using other company resources, the employee was not considered to be carrying on a business herself.</w:t>
      </w:r>
      <w:r>
        <w:rPr>
          <w:rStyle w:val="FootnoteReference"/>
          <w:lang w:eastAsia="ja-JP"/>
        </w:rPr>
        <w:footnoteReference w:id="25"/>
      </w:r>
    </w:p>
    <w:p w14:paraId="28DBF3A7" w14:textId="77777777" w:rsidR="00947332" w:rsidRDefault="00947332" w:rsidP="00947332">
      <w:pPr>
        <w:pStyle w:val="Heading2"/>
        <w:numPr>
          <w:ilvl w:val="0"/>
          <w:numId w:val="0"/>
        </w:numPr>
        <w:ind w:left="576" w:hanging="576"/>
        <w:rPr>
          <w:lang w:eastAsia="ja-JP"/>
        </w:rPr>
      </w:pPr>
      <w:bookmarkStart w:id="92" w:name="_Toc115704198"/>
      <w:bookmarkStart w:id="93" w:name="_Toc117064512"/>
      <w:bookmarkStart w:id="94" w:name="_Toc124831387"/>
      <w:bookmarkStart w:id="95" w:name="_Toc124917444"/>
      <w:r>
        <w:rPr>
          <w:lang w:eastAsia="ja-JP"/>
        </w:rPr>
        <w:t>Payments</w:t>
      </w:r>
      <w:bookmarkEnd w:id="92"/>
      <w:r>
        <w:rPr>
          <w:lang w:eastAsia="ja-JP"/>
        </w:rPr>
        <w:t xml:space="preserve"> not covered by this scale</w:t>
      </w:r>
      <w:bookmarkEnd w:id="93"/>
      <w:bookmarkEnd w:id="94"/>
      <w:bookmarkEnd w:id="95"/>
    </w:p>
    <w:p w14:paraId="191F1321" w14:textId="77777777" w:rsidR="00947332" w:rsidRDefault="00947332" w:rsidP="00947332">
      <w:pPr>
        <w:rPr>
          <w:lang w:eastAsia="ja-JP"/>
        </w:rPr>
      </w:pPr>
      <w:r>
        <w:rPr>
          <w:lang w:eastAsia="ja-JP"/>
        </w:rPr>
        <w:t>The above scale does not apply to:</w:t>
      </w:r>
    </w:p>
    <w:p w14:paraId="582D9B13" w14:textId="77777777" w:rsidR="00947332" w:rsidRDefault="00947332" w:rsidP="00947332">
      <w:pPr>
        <w:pStyle w:val="ListParagraph"/>
        <w:numPr>
          <w:ilvl w:val="0"/>
          <w:numId w:val="39"/>
        </w:numPr>
        <w:ind w:left="284" w:hanging="284"/>
        <w:rPr>
          <w:lang w:eastAsia="ja-JP"/>
        </w:rPr>
      </w:pPr>
      <w:r>
        <w:rPr>
          <w:lang w:eastAsia="ja-JP"/>
        </w:rPr>
        <w:t>Reimbursements for disbursements reasonably and necessarily incurred</w:t>
      </w:r>
    </w:p>
    <w:p w14:paraId="68A309AE" w14:textId="77777777" w:rsidR="00947332" w:rsidRDefault="00947332" w:rsidP="00947332">
      <w:pPr>
        <w:pStyle w:val="ListParagraph"/>
        <w:numPr>
          <w:ilvl w:val="0"/>
          <w:numId w:val="39"/>
        </w:numPr>
        <w:ind w:left="284" w:hanging="284"/>
        <w:rPr>
          <w:lang w:eastAsia="ja-JP"/>
        </w:rPr>
      </w:pPr>
      <w:r>
        <w:rPr>
          <w:lang w:eastAsia="ja-JP"/>
        </w:rPr>
        <w:t>Tasks or services provided by the administrator or their staff that are genuine legal services or advice—these are services that an administrator who is not a lawyer would usually be expected to seek independent legal advice on: for example, drafting legal documents such as contracts or wills, reviewing contracts where it would be usual to seek legal advice before signing</w:t>
      </w:r>
      <w:r w:rsidRPr="00E73710">
        <w:rPr>
          <w:lang w:eastAsia="ja-JP"/>
        </w:rPr>
        <w:t>, or</w:t>
      </w:r>
      <w:r>
        <w:rPr>
          <w:i/>
          <w:iCs/>
          <w:lang w:eastAsia="ja-JP"/>
        </w:rPr>
        <w:t xml:space="preserve"> </w:t>
      </w:r>
      <w:r>
        <w:rPr>
          <w:lang w:eastAsia="ja-JP"/>
        </w:rPr>
        <w:t>interpreting legal requirements. For these tasks, the administrator is entitled to payment on the scale set out in the Practitioner Remuneration Order. (Note: for legal services that require section 51 approval (bringing or defending actions or other legal proceedings), or for any other activities for which the administrator order states VCAT approval is required, remuneration would be determined under those separate arrangements.)</w:t>
      </w:r>
    </w:p>
    <w:p w14:paraId="51B759FC" w14:textId="77777777" w:rsidR="00947332" w:rsidRPr="00E73710" w:rsidRDefault="00947332" w:rsidP="00947332">
      <w:pPr>
        <w:pStyle w:val="ListParagraph"/>
        <w:numPr>
          <w:ilvl w:val="0"/>
          <w:numId w:val="39"/>
        </w:numPr>
        <w:ind w:left="284" w:hanging="284"/>
        <w:rPr>
          <w:lang w:eastAsia="ja-JP"/>
        </w:rPr>
      </w:pPr>
      <w:r>
        <w:rPr>
          <w:lang w:eastAsia="ja-JP"/>
        </w:rPr>
        <w:t xml:space="preserve">For accounting/financial management firms, and if the scale is adopted by STL or a licensed trustee company, the scale does not apply to fees that may be charged for providing financial </w:t>
      </w:r>
      <w:r w:rsidRPr="00E73710">
        <w:rPr>
          <w:lang w:eastAsia="ja-JP"/>
        </w:rPr>
        <w:t>advice of a type that requires a</w:t>
      </w:r>
      <w:r>
        <w:rPr>
          <w:lang w:eastAsia="ja-JP"/>
        </w:rPr>
        <w:t>n Australian Financial Services (AFS)</w:t>
      </w:r>
      <w:r w:rsidRPr="00E73710">
        <w:rPr>
          <w:lang w:eastAsia="ja-JP"/>
        </w:rPr>
        <w:t xml:space="preserve"> licence.</w:t>
      </w:r>
    </w:p>
    <w:p w14:paraId="02040978" w14:textId="77777777" w:rsidR="00947332" w:rsidRDefault="00947332" w:rsidP="00947332">
      <w:pPr>
        <w:rPr>
          <w:lang w:eastAsia="ja-JP"/>
        </w:rPr>
      </w:pPr>
      <w:r>
        <w:rPr>
          <w:lang w:eastAsia="ja-JP"/>
        </w:rPr>
        <w:t>If a professional administrator were, for example, an accountant and the need arose to obtain legal advice, the administrator would engage a legal practitioner. Alternatively, a professional administrator who is a legal practitioner may engage a financial advisor if specialist financial advice is required. Bringing or defending actions or other legal proceedings (see s 51 of GAA) requires separate leave of VCAT.</w:t>
      </w:r>
    </w:p>
    <w:p w14:paraId="6FEBE9CD" w14:textId="77777777" w:rsidR="00947332" w:rsidRDefault="00947332" w:rsidP="00947332">
      <w:pPr>
        <w:pStyle w:val="Heading2"/>
        <w:numPr>
          <w:ilvl w:val="0"/>
          <w:numId w:val="0"/>
        </w:numPr>
        <w:ind w:left="576" w:hanging="576"/>
        <w:rPr>
          <w:lang w:eastAsia="ja-JP"/>
        </w:rPr>
      </w:pPr>
      <w:bookmarkStart w:id="96" w:name="_Toc117064513"/>
      <w:bookmarkStart w:id="97" w:name="_Toc115704199"/>
      <w:bookmarkStart w:id="98" w:name="_Toc124831388"/>
      <w:bookmarkStart w:id="99" w:name="_Toc124917445"/>
      <w:r>
        <w:rPr>
          <w:lang w:eastAsia="ja-JP"/>
        </w:rPr>
        <w:lastRenderedPageBreak/>
        <w:t>Transitional</w:t>
      </w:r>
      <w:bookmarkEnd w:id="96"/>
      <w:bookmarkEnd w:id="97"/>
      <w:bookmarkEnd w:id="98"/>
      <w:bookmarkEnd w:id="99"/>
    </w:p>
    <w:p w14:paraId="487559EE" w14:textId="77777777" w:rsidR="00947332" w:rsidRDefault="00947332" w:rsidP="00947332">
      <w:pPr>
        <w:rPr>
          <w:lang w:eastAsia="ja-JP"/>
        </w:rPr>
      </w:pPr>
      <w:r>
        <w:rPr>
          <w:lang w:eastAsia="ja-JP"/>
        </w:rPr>
        <w:t>Once the remuneration scale is in place, it would apply to new administrator appointments made from that date. It would not apply to existing administrator orders which already set out the remuneration arrangements.</w:t>
      </w:r>
    </w:p>
    <w:p w14:paraId="02C74A68" w14:textId="77777777" w:rsidR="00947332" w:rsidRPr="00947332" w:rsidRDefault="00947332" w:rsidP="00947332">
      <w:pPr>
        <w:rPr>
          <w:lang w:eastAsia="ja-JP"/>
        </w:rPr>
        <w:sectPr w:rsidR="00947332" w:rsidRPr="00947332" w:rsidSect="00954187">
          <w:pgSz w:w="11900" w:h="16840"/>
          <w:pgMar w:top="1440" w:right="1440" w:bottom="1440" w:left="1440" w:header="708" w:footer="708" w:gutter="0"/>
          <w:pgNumType w:start="1"/>
          <w:cols w:space="708"/>
          <w:docGrid w:linePitch="360"/>
        </w:sectPr>
      </w:pPr>
    </w:p>
    <w:p w14:paraId="765DCB00" w14:textId="5489EF86" w:rsidR="00042AA4" w:rsidRPr="006E7B9F" w:rsidRDefault="006E7B9F" w:rsidP="00A967C4">
      <w:pPr>
        <w:pStyle w:val="Heading1"/>
        <w:numPr>
          <w:ilvl w:val="0"/>
          <w:numId w:val="0"/>
        </w:numPr>
        <w:ind w:left="432" w:hanging="432"/>
      </w:pPr>
      <w:bookmarkStart w:id="100" w:name="_Toc124917446"/>
      <w:r w:rsidRPr="006E7B9F">
        <w:lastRenderedPageBreak/>
        <w:t xml:space="preserve">Appendix </w:t>
      </w:r>
      <w:r w:rsidR="00575012">
        <w:t>C</w:t>
      </w:r>
      <w:r w:rsidRPr="006E7B9F">
        <w:t xml:space="preserve">: </w:t>
      </w:r>
      <w:r w:rsidR="00042AA4" w:rsidRPr="006E7B9F">
        <w:t>Remuneration of administrators in other Australian jurisdictions</w:t>
      </w:r>
      <w:bookmarkEnd w:id="100"/>
    </w:p>
    <w:tbl>
      <w:tblPr>
        <w:tblStyle w:val="TableGrid"/>
        <w:tblW w:w="0" w:type="auto"/>
        <w:tblLook w:val="04A0" w:firstRow="1" w:lastRow="0" w:firstColumn="1" w:lastColumn="0" w:noHBand="0" w:noVBand="1"/>
      </w:tblPr>
      <w:tblGrid>
        <w:gridCol w:w="1179"/>
        <w:gridCol w:w="4628"/>
        <w:gridCol w:w="4365"/>
        <w:gridCol w:w="3776"/>
      </w:tblGrid>
      <w:tr w:rsidR="00042AA4" w:rsidRPr="00DB0F1B" w14:paraId="23447B38" w14:textId="77777777" w:rsidTr="00F116AC">
        <w:trPr>
          <w:cnfStyle w:val="100000000000" w:firstRow="1" w:lastRow="0" w:firstColumn="0" w:lastColumn="0" w:oddVBand="0" w:evenVBand="0" w:oddHBand="0" w:evenHBand="0" w:firstRowFirstColumn="0" w:firstRowLastColumn="0" w:lastRowFirstColumn="0" w:lastRowLastColumn="0"/>
          <w:tblHeader/>
        </w:trPr>
        <w:tc>
          <w:tcPr>
            <w:tcW w:w="1179" w:type="dxa"/>
          </w:tcPr>
          <w:p w14:paraId="0741BB89" w14:textId="77777777" w:rsidR="00042AA4" w:rsidRPr="00DB0F1B" w:rsidRDefault="00042AA4" w:rsidP="00AF32EC">
            <w:pPr>
              <w:rPr>
                <w:rFonts w:asciiTheme="majorHAnsi" w:hAnsiTheme="majorHAnsi" w:cstheme="majorHAnsi"/>
                <w:b/>
                <w:bCs/>
              </w:rPr>
            </w:pPr>
            <w:r>
              <w:rPr>
                <w:rFonts w:asciiTheme="majorHAnsi" w:hAnsiTheme="majorHAnsi" w:cstheme="majorHAnsi"/>
                <w:b/>
                <w:bCs/>
              </w:rPr>
              <w:t>State</w:t>
            </w:r>
          </w:p>
        </w:tc>
        <w:tc>
          <w:tcPr>
            <w:tcW w:w="4628" w:type="dxa"/>
          </w:tcPr>
          <w:p w14:paraId="7FC4260C" w14:textId="77777777" w:rsidR="00042AA4" w:rsidRPr="00DB0F1B" w:rsidRDefault="00042AA4" w:rsidP="00AF32EC">
            <w:pPr>
              <w:rPr>
                <w:rFonts w:asciiTheme="majorHAnsi" w:hAnsiTheme="majorHAnsi" w:cstheme="majorHAnsi"/>
                <w:b/>
                <w:bCs/>
              </w:rPr>
            </w:pPr>
            <w:r>
              <w:rPr>
                <w:rFonts w:asciiTheme="majorHAnsi" w:hAnsiTheme="majorHAnsi" w:cstheme="majorHAnsi"/>
                <w:b/>
                <w:bCs/>
              </w:rPr>
              <w:t>Legislation/regulation</w:t>
            </w:r>
          </w:p>
        </w:tc>
        <w:tc>
          <w:tcPr>
            <w:tcW w:w="4365" w:type="dxa"/>
          </w:tcPr>
          <w:p w14:paraId="22F48BCE" w14:textId="77777777" w:rsidR="00042AA4" w:rsidRPr="00DB0F1B" w:rsidRDefault="00042AA4" w:rsidP="00AF32EC">
            <w:pPr>
              <w:rPr>
                <w:rFonts w:asciiTheme="majorHAnsi" w:hAnsiTheme="majorHAnsi" w:cstheme="majorHAnsi"/>
                <w:b/>
                <w:bCs/>
              </w:rPr>
            </w:pPr>
            <w:r>
              <w:rPr>
                <w:rFonts w:asciiTheme="majorHAnsi" w:hAnsiTheme="majorHAnsi" w:cstheme="majorHAnsi"/>
                <w:b/>
                <w:bCs/>
              </w:rPr>
              <w:t>Remuneration</w:t>
            </w:r>
          </w:p>
        </w:tc>
        <w:tc>
          <w:tcPr>
            <w:tcW w:w="3776" w:type="dxa"/>
          </w:tcPr>
          <w:p w14:paraId="1AA4119D" w14:textId="77777777" w:rsidR="00042AA4" w:rsidRPr="00DB0F1B" w:rsidRDefault="00042AA4" w:rsidP="00AF32EC">
            <w:pPr>
              <w:rPr>
                <w:rFonts w:asciiTheme="majorHAnsi" w:hAnsiTheme="majorHAnsi" w:cstheme="majorHAnsi"/>
                <w:b/>
                <w:bCs/>
              </w:rPr>
            </w:pPr>
            <w:r>
              <w:rPr>
                <w:rFonts w:asciiTheme="majorHAnsi" w:hAnsiTheme="majorHAnsi" w:cstheme="majorHAnsi"/>
                <w:b/>
                <w:bCs/>
              </w:rPr>
              <w:t>Comment</w:t>
            </w:r>
          </w:p>
        </w:tc>
      </w:tr>
      <w:tr w:rsidR="00042AA4" w:rsidRPr="00C5087D" w14:paraId="784A9CB9" w14:textId="77777777" w:rsidTr="00AF32EC">
        <w:tc>
          <w:tcPr>
            <w:tcW w:w="1179" w:type="dxa"/>
          </w:tcPr>
          <w:p w14:paraId="1537DC40" w14:textId="77777777" w:rsidR="00042AA4" w:rsidRPr="00C5087D" w:rsidRDefault="00042AA4" w:rsidP="00AF32EC">
            <w:pPr>
              <w:rPr>
                <w:rFonts w:asciiTheme="majorHAnsi" w:hAnsiTheme="majorHAnsi" w:cstheme="majorHAnsi"/>
                <w:sz w:val="20"/>
                <w:szCs w:val="20"/>
              </w:rPr>
            </w:pPr>
            <w:r>
              <w:rPr>
                <w:rFonts w:asciiTheme="majorHAnsi" w:hAnsiTheme="majorHAnsi" w:cstheme="majorHAnsi"/>
                <w:sz w:val="20"/>
                <w:szCs w:val="20"/>
              </w:rPr>
              <w:t>NSW</w:t>
            </w:r>
          </w:p>
        </w:tc>
        <w:tc>
          <w:tcPr>
            <w:tcW w:w="4628" w:type="dxa"/>
          </w:tcPr>
          <w:p w14:paraId="1B0952FA" w14:textId="77777777" w:rsidR="00042AA4" w:rsidRPr="00A967C4" w:rsidRDefault="00042AA4" w:rsidP="00A967C4">
            <w:pPr>
              <w:rPr>
                <w:rFonts w:asciiTheme="majorHAnsi" w:hAnsiTheme="majorHAnsi" w:cstheme="majorHAnsi"/>
                <w:i/>
                <w:iCs/>
                <w:sz w:val="20"/>
                <w:szCs w:val="20"/>
              </w:rPr>
            </w:pPr>
            <w:bookmarkStart w:id="101" w:name="_Toc117064514"/>
            <w:bookmarkStart w:id="102" w:name="_Toc115704201"/>
            <w:r w:rsidRPr="00A967C4">
              <w:rPr>
                <w:rFonts w:asciiTheme="majorHAnsi" w:hAnsiTheme="majorHAnsi" w:cstheme="majorHAnsi"/>
                <w:i/>
                <w:iCs/>
                <w:sz w:val="20"/>
                <w:szCs w:val="20"/>
              </w:rPr>
              <w:t>Trustee and Guardian Act 2009</w:t>
            </w:r>
            <w:bookmarkEnd w:id="101"/>
            <w:bookmarkEnd w:id="102"/>
          </w:p>
          <w:p w14:paraId="39EFC7B2" w14:textId="314249CF" w:rsidR="00042AA4" w:rsidRPr="00C5087D" w:rsidRDefault="00042AA4" w:rsidP="00AF32EC">
            <w:pPr>
              <w:rPr>
                <w:rFonts w:asciiTheme="majorHAnsi" w:eastAsia="Times New Roman" w:hAnsiTheme="majorHAnsi" w:cstheme="majorHAnsi"/>
                <w:sz w:val="20"/>
                <w:szCs w:val="20"/>
                <w:lang w:eastAsia="en-AU"/>
              </w:rPr>
            </w:pPr>
            <w:r w:rsidRPr="00C5087D">
              <w:rPr>
                <w:rFonts w:asciiTheme="majorHAnsi" w:eastAsia="Times New Roman" w:hAnsiTheme="majorHAnsi" w:cstheme="majorHAnsi"/>
                <w:sz w:val="20"/>
                <w:szCs w:val="20"/>
                <w:lang w:eastAsia="en-AU"/>
              </w:rPr>
              <w:t xml:space="preserve">Section 20 (1) </w:t>
            </w:r>
            <w:r w:rsidR="00D7219F">
              <w:rPr>
                <w:rFonts w:asciiTheme="majorHAnsi" w:eastAsia="Times New Roman" w:hAnsiTheme="majorHAnsi" w:cstheme="majorHAnsi"/>
                <w:sz w:val="20"/>
                <w:szCs w:val="20"/>
                <w:lang w:eastAsia="en-AU"/>
              </w:rPr>
              <w:t>t</w:t>
            </w:r>
            <w:r w:rsidRPr="00C5087D">
              <w:rPr>
                <w:rFonts w:asciiTheme="majorHAnsi" w:eastAsia="Times New Roman" w:hAnsiTheme="majorHAnsi" w:cstheme="majorHAnsi"/>
                <w:sz w:val="20"/>
                <w:szCs w:val="20"/>
                <w:lang w:eastAsia="en-AU"/>
              </w:rPr>
              <w:t>he NSW Trustee may appoint agents and act as an agent for other persons.</w:t>
            </w:r>
          </w:p>
          <w:p w14:paraId="3ECCB9AD" w14:textId="77777777" w:rsidR="00042AA4" w:rsidRPr="00C5087D" w:rsidRDefault="00042AA4" w:rsidP="00AF32EC">
            <w:pPr>
              <w:rPr>
                <w:rFonts w:asciiTheme="majorHAnsi" w:hAnsiTheme="majorHAnsi" w:cstheme="majorHAnsi"/>
                <w:b/>
                <w:bCs/>
                <w:sz w:val="20"/>
                <w:szCs w:val="20"/>
              </w:rPr>
            </w:pPr>
          </w:p>
        </w:tc>
        <w:tc>
          <w:tcPr>
            <w:tcW w:w="4365" w:type="dxa"/>
          </w:tcPr>
          <w:p w14:paraId="4EFBFCA9" w14:textId="77777777" w:rsidR="00042AA4" w:rsidRDefault="00042AA4" w:rsidP="00AF32EC">
            <w:pPr>
              <w:rPr>
                <w:rFonts w:asciiTheme="majorHAnsi" w:hAnsiTheme="majorHAnsi" w:cstheme="majorHAnsi"/>
                <w:sz w:val="20"/>
                <w:szCs w:val="20"/>
              </w:rPr>
            </w:pPr>
            <w:r w:rsidRPr="00761F18">
              <w:rPr>
                <w:rFonts w:asciiTheme="majorHAnsi" w:hAnsiTheme="majorHAnsi" w:cstheme="majorHAnsi"/>
                <w:sz w:val="20"/>
                <w:szCs w:val="20"/>
              </w:rPr>
              <w:t>Legislation permits NSW Trustee &amp; Guardian to charge fees to carry out our financial management services, but private financial managers are not paid for performing their work unless they have a remuneration order from the Supreme Court of NSW.</w:t>
            </w:r>
          </w:p>
          <w:p w14:paraId="3418BEEE" w14:textId="77777777" w:rsidR="00042AA4" w:rsidRPr="00C5087D" w:rsidRDefault="00042AA4" w:rsidP="00AF32EC">
            <w:pPr>
              <w:rPr>
                <w:rFonts w:asciiTheme="majorHAnsi" w:hAnsiTheme="majorHAnsi" w:cstheme="majorHAnsi"/>
                <w:b/>
                <w:bCs/>
                <w:sz w:val="20"/>
                <w:szCs w:val="20"/>
              </w:rPr>
            </w:pPr>
          </w:p>
        </w:tc>
        <w:tc>
          <w:tcPr>
            <w:tcW w:w="3776" w:type="dxa"/>
          </w:tcPr>
          <w:p w14:paraId="34617AA4" w14:textId="2C3B91C7" w:rsidR="00042AA4" w:rsidRDefault="00042AA4" w:rsidP="00AF32EC">
            <w:pPr>
              <w:rPr>
                <w:rFonts w:asciiTheme="majorHAnsi" w:hAnsiTheme="majorHAnsi" w:cstheme="majorHAnsi"/>
                <w:sz w:val="20"/>
                <w:szCs w:val="20"/>
              </w:rPr>
            </w:pPr>
            <w:r>
              <w:rPr>
                <w:rFonts w:asciiTheme="majorHAnsi" w:hAnsiTheme="majorHAnsi" w:cstheme="majorHAnsi"/>
                <w:sz w:val="20"/>
                <w:szCs w:val="20"/>
              </w:rPr>
              <w:t xml:space="preserve">It is relatively common for a trustee company to manage a represented person’s assets. In this case, the trustee company submits its proposed charges. Before approving a remuneration order the Supreme Court of NSW will seek advice from the NSW Trustee &amp; Guardian to assess whether the remuneration proposal is reasonable. Such remuneration orders are </w:t>
            </w:r>
            <w:r w:rsidR="00D7219F">
              <w:rPr>
                <w:rFonts w:asciiTheme="majorHAnsi" w:hAnsiTheme="majorHAnsi" w:cstheme="majorHAnsi"/>
                <w:sz w:val="20"/>
                <w:szCs w:val="20"/>
              </w:rPr>
              <w:t xml:space="preserve">made </w:t>
            </w:r>
            <w:r>
              <w:rPr>
                <w:rFonts w:asciiTheme="majorHAnsi" w:hAnsiTheme="majorHAnsi" w:cstheme="majorHAnsi"/>
                <w:sz w:val="20"/>
                <w:szCs w:val="20"/>
              </w:rPr>
              <w:t>on a case by case basis.</w:t>
            </w:r>
          </w:p>
          <w:p w14:paraId="227B892F" w14:textId="77777777" w:rsidR="00042AA4" w:rsidRPr="00C5087D" w:rsidRDefault="00042AA4" w:rsidP="00AF32EC">
            <w:pPr>
              <w:rPr>
                <w:rFonts w:asciiTheme="majorHAnsi" w:hAnsiTheme="majorHAnsi" w:cstheme="majorHAnsi"/>
                <w:b/>
                <w:bCs/>
                <w:sz w:val="20"/>
                <w:szCs w:val="20"/>
              </w:rPr>
            </w:pPr>
            <w:r>
              <w:rPr>
                <w:rFonts w:asciiTheme="majorHAnsi" w:hAnsiTheme="majorHAnsi" w:cstheme="majorHAnsi"/>
                <w:sz w:val="20"/>
                <w:szCs w:val="20"/>
              </w:rPr>
              <w:t>Only in rare circumstances will a private individual apply to manage the affairs of a represented person. In any case, the process for obtaining a remuneration order is the same.</w:t>
            </w:r>
          </w:p>
        </w:tc>
      </w:tr>
      <w:tr w:rsidR="00042AA4" w:rsidRPr="00C5087D" w14:paraId="35846712" w14:textId="77777777" w:rsidTr="00AF32EC">
        <w:tc>
          <w:tcPr>
            <w:tcW w:w="1179" w:type="dxa"/>
          </w:tcPr>
          <w:p w14:paraId="616B5E70" w14:textId="77777777" w:rsidR="00042AA4" w:rsidRPr="00C5087D" w:rsidRDefault="00042AA4" w:rsidP="00AF32EC">
            <w:pPr>
              <w:rPr>
                <w:rFonts w:asciiTheme="majorHAnsi" w:hAnsiTheme="majorHAnsi" w:cstheme="majorHAnsi"/>
                <w:sz w:val="20"/>
                <w:szCs w:val="20"/>
              </w:rPr>
            </w:pPr>
            <w:r w:rsidRPr="00C5087D">
              <w:rPr>
                <w:rFonts w:asciiTheme="majorHAnsi" w:hAnsiTheme="majorHAnsi" w:cstheme="majorHAnsi"/>
                <w:sz w:val="20"/>
                <w:szCs w:val="20"/>
              </w:rPr>
              <w:t>Q</w:t>
            </w:r>
            <w:r>
              <w:rPr>
                <w:rFonts w:asciiTheme="majorHAnsi" w:hAnsiTheme="majorHAnsi" w:cstheme="majorHAnsi"/>
                <w:sz w:val="20"/>
                <w:szCs w:val="20"/>
              </w:rPr>
              <w:t>ueensland</w:t>
            </w:r>
          </w:p>
        </w:tc>
        <w:tc>
          <w:tcPr>
            <w:tcW w:w="4628" w:type="dxa"/>
          </w:tcPr>
          <w:p w14:paraId="6F12EAFE" w14:textId="77777777" w:rsidR="00042AA4" w:rsidRPr="00A967C4" w:rsidRDefault="00042AA4" w:rsidP="00A967C4">
            <w:pPr>
              <w:rPr>
                <w:rFonts w:asciiTheme="majorHAnsi" w:eastAsia="Times New Roman" w:hAnsiTheme="majorHAnsi" w:cstheme="majorHAnsi"/>
                <w:i/>
                <w:iCs/>
                <w:sz w:val="20"/>
                <w:szCs w:val="20"/>
                <w:lang w:eastAsia="en-AU"/>
              </w:rPr>
            </w:pPr>
            <w:bookmarkStart w:id="103" w:name="_Toc117064515"/>
            <w:bookmarkStart w:id="104" w:name="_Toc115704202"/>
            <w:r w:rsidRPr="00A967C4">
              <w:rPr>
                <w:rFonts w:asciiTheme="majorHAnsi" w:eastAsia="Times New Roman" w:hAnsiTheme="majorHAnsi" w:cstheme="majorHAnsi"/>
                <w:i/>
                <w:iCs/>
                <w:sz w:val="20"/>
                <w:szCs w:val="20"/>
                <w:lang w:eastAsia="en-AU"/>
              </w:rPr>
              <w:t>Guardianship and Administration Act 2000</w:t>
            </w:r>
            <w:bookmarkEnd w:id="103"/>
            <w:bookmarkEnd w:id="104"/>
          </w:p>
          <w:p w14:paraId="43CDF93A" w14:textId="1B3BBB1B" w:rsidR="00042AA4" w:rsidRDefault="00042AA4" w:rsidP="00AF32EC">
            <w:pPr>
              <w:spacing w:before="100" w:beforeAutospacing="1" w:after="100" w:afterAutospacing="1"/>
              <w:rPr>
                <w:rFonts w:asciiTheme="majorHAnsi" w:eastAsia="Times New Roman" w:hAnsiTheme="majorHAnsi" w:cstheme="majorHAnsi"/>
                <w:sz w:val="20"/>
                <w:szCs w:val="20"/>
                <w:lang w:eastAsia="en-AU"/>
              </w:rPr>
            </w:pPr>
            <w:r w:rsidRPr="00C5087D">
              <w:rPr>
                <w:rFonts w:asciiTheme="majorHAnsi" w:eastAsia="Times New Roman" w:hAnsiTheme="majorHAnsi" w:cstheme="majorHAnsi"/>
                <w:sz w:val="20"/>
                <w:szCs w:val="20"/>
                <w:lang w:eastAsia="en-AU"/>
              </w:rPr>
              <w:t>Section 48 Remuneration of professional administrators</w:t>
            </w:r>
            <w:r w:rsidR="00D7219F">
              <w:rPr>
                <w:rFonts w:asciiTheme="majorHAnsi" w:eastAsia="Times New Roman" w:hAnsiTheme="majorHAnsi" w:cstheme="majorHAnsi"/>
                <w:sz w:val="20"/>
                <w:szCs w:val="20"/>
                <w:lang w:eastAsia="en-AU"/>
              </w:rPr>
              <w:t>:</w:t>
            </w:r>
          </w:p>
          <w:p w14:paraId="4FDEEFB9" w14:textId="77777777" w:rsidR="00042AA4" w:rsidRPr="00C5087D" w:rsidRDefault="00042AA4" w:rsidP="00AF32EC">
            <w:pPr>
              <w:spacing w:before="100" w:beforeAutospacing="1" w:after="100" w:afterAutospacing="1"/>
              <w:rPr>
                <w:rFonts w:asciiTheme="majorHAnsi" w:eastAsia="Times New Roman" w:hAnsiTheme="majorHAnsi" w:cstheme="majorHAnsi"/>
                <w:sz w:val="20"/>
                <w:szCs w:val="20"/>
                <w:lang w:eastAsia="en-AU"/>
              </w:rPr>
            </w:pPr>
            <w:r w:rsidRPr="00C5087D">
              <w:rPr>
                <w:rFonts w:asciiTheme="majorHAnsi" w:eastAsia="Times New Roman" w:hAnsiTheme="majorHAnsi" w:cstheme="majorHAnsi"/>
                <w:sz w:val="20"/>
                <w:szCs w:val="20"/>
                <w:lang w:eastAsia="en-AU"/>
              </w:rPr>
              <w:t>(1) An administrator for an adult is entitled to remuneration from the adult if the tribunal makes an order that the administrator is to be remunerated by the adult.</w:t>
            </w:r>
          </w:p>
          <w:p w14:paraId="369F7B40" w14:textId="12B5235D" w:rsidR="00042AA4" w:rsidRPr="00C5087D" w:rsidRDefault="00042AA4" w:rsidP="00AF32EC">
            <w:pPr>
              <w:spacing w:after="100"/>
              <w:rPr>
                <w:rFonts w:asciiTheme="majorHAnsi" w:eastAsia="Times New Roman" w:hAnsiTheme="majorHAnsi" w:cstheme="majorHAnsi"/>
                <w:sz w:val="20"/>
                <w:szCs w:val="20"/>
                <w:lang w:eastAsia="en-AU"/>
              </w:rPr>
            </w:pPr>
            <w:r w:rsidRPr="00C5087D">
              <w:rPr>
                <w:rFonts w:asciiTheme="majorHAnsi" w:eastAsia="Times New Roman" w:hAnsiTheme="majorHAnsi" w:cstheme="majorHAnsi"/>
                <w:sz w:val="20"/>
                <w:szCs w:val="20"/>
                <w:lang w:eastAsia="en-AU"/>
              </w:rPr>
              <w:t>(2)</w:t>
            </w:r>
            <w:r w:rsidR="00176503">
              <w:rPr>
                <w:rFonts w:asciiTheme="majorHAnsi" w:eastAsia="Times New Roman" w:hAnsiTheme="majorHAnsi" w:cstheme="majorHAnsi"/>
                <w:sz w:val="20"/>
                <w:szCs w:val="20"/>
                <w:lang w:eastAsia="en-AU"/>
              </w:rPr>
              <w:t xml:space="preserve"> </w:t>
            </w:r>
            <w:r w:rsidRPr="00C5087D">
              <w:rPr>
                <w:rFonts w:asciiTheme="majorHAnsi" w:eastAsia="Times New Roman" w:hAnsiTheme="majorHAnsi" w:cstheme="majorHAnsi"/>
                <w:sz w:val="20"/>
                <w:szCs w:val="20"/>
                <w:lang w:eastAsia="en-AU"/>
              </w:rPr>
              <w:t>The tribunal may make an order under subsection (1) only if the administrator carries on a business providing professional services.</w:t>
            </w:r>
          </w:p>
          <w:p w14:paraId="1F48276F" w14:textId="4A1A6A5F" w:rsidR="00042AA4" w:rsidRPr="00C5087D" w:rsidRDefault="00042AA4" w:rsidP="00AF32EC">
            <w:pPr>
              <w:rPr>
                <w:rFonts w:asciiTheme="majorHAnsi" w:eastAsia="Times New Roman" w:hAnsiTheme="majorHAnsi" w:cstheme="majorHAnsi"/>
                <w:sz w:val="20"/>
                <w:szCs w:val="20"/>
                <w:lang w:eastAsia="en-AU"/>
              </w:rPr>
            </w:pPr>
            <w:r w:rsidRPr="00C5087D">
              <w:rPr>
                <w:rFonts w:asciiTheme="majorHAnsi" w:eastAsia="Times New Roman" w:hAnsiTheme="majorHAnsi" w:cstheme="majorHAnsi"/>
                <w:sz w:val="20"/>
                <w:szCs w:val="20"/>
                <w:lang w:eastAsia="en-AU"/>
              </w:rPr>
              <w:lastRenderedPageBreak/>
              <w:t>(3)</w:t>
            </w:r>
            <w:r w:rsidR="00176503">
              <w:rPr>
                <w:rFonts w:asciiTheme="majorHAnsi" w:eastAsia="Times New Roman" w:hAnsiTheme="majorHAnsi" w:cstheme="majorHAnsi"/>
                <w:sz w:val="20"/>
                <w:szCs w:val="20"/>
                <w:lang w:eastAsia="en-AU"/>
              </w:rPr>
              <w:t xml:space="preserve"> </w:t>
            </w:r>
            <w:r w:rsidRPr="00C5087D">
              <w:rPr>
                <w:rFonts w:asciiTheme="majorHAnsi" w:eastAsia="Times New Roman" w:hAnsiTheme="majorHAnsi" w:cstheme="majorHAnsi"/>
                <w:sz w:val="20"/>
                <w:szCs w:val="20"/>
                <w:lang w:eastAsia="en-AU"/>
              </w:rPr>
              <w:t>The remuneration may not be more than the amount the tribunal considers fair and reasonable, having regard to—</w:t>
            </w:r>
          </w:p>
          <w:p w14:paraId="2E1D975B" w14:textId="5D85AA63" w:rsidR="00042AA4" w:rsidRPr="00C5087D" w:rsidRDefault="00042AA4" w:rsidP="00AF32EC">
            <w:pPr>
              <w:spacing w:after="100"/>
              <w:ind w:left="284"/>
              <w:rPr>
                <w:rFonts w:asciiTheme="majorHAnsi" w:eastAsia="Times New Roman" w:hAnsiTheme="majorHAnsi" w:cstheme="majorHAnsi"/>
                <w:sz w:val="20"/>
                <w:szCs w:val="20"/>
                <w:lang w:eastAsia="en-AU"/>
              </w:rPr>
            </w:pPr>
            <w:r w:rsidRPr="00C5087D">
              <w:rPr>
                <w:rFonts w:asciiTheme="majorHAnsi" w:eastAsia="Times New Roman" w:hAnsiTheme="majorHAnsi" w:cstheme="majorHAnsi"/>
                <w:sz w:val="20"/>
                <w:szCs w:val="20"/>
                <w:lang w:eastAsia="en-AU"/>
              </w:rPr>
              <w:t>(a)</w:t>
            </w:r>
            <w:r w:rsidR="00D7219F">
              <w:rPr>
                <w:rFonts w:asciiTheme="majorHAnsi" w:eastAsia="Times New Roman" w:hAnsiTheme="majorHAnsi" w:cstheme="majorHAnsi"/>
                <w:sz w:val="20"/>
                <w:szCs w:val="20"/>
                <w:lang w:eastAsia="en-AU"/>
              </w:rPr>
              <w:t xml:space="preserve"> </w:t>
            </w:r>
            <w:r w:rsidRPr="00C5087D">
              <w:rPr>
                <w:rFonts w:asciiTheme="majorHAnsi" w:eastAsia="Times New Roman" w:hAnsiTheme="majorHAnsi" w:cstheme="majorHAnsi"/>
                <w:sz w:val="20"/>
                <w:szCs w:val="20"/>
                <w:lang w:eastAsia="en-AU"/>
              </w:rPr>
              <w:t>the nature and complexity of the service; and</w:t>
            </w:r>
          </w:p>
          <w:p w14:paraId="40444338" w14:textId="6BE67EEA" w:rsidR="00042AA4" w:rsidRPr="00C5087D" w:rsidRDefault="00042AA4" w:rsidP="00AF32EC">
            <w:pPr>
              <w:spacing w:after="100"/>
              <w:ind w:left="284"/>
              <w:rPr>
                <w:rFonts w:asciiTheme="majorHAnsi" w:eastAsia="Times New Roman" w:hAnsiTheme="majorHAnsi" w:cstheme="majorHAnsi"/>
                <w:sz w:val="20"/>
                <w:szCs w:val="20"/>
                <w:lang w:eastAsia="en-AU"/>
              </w:rPr>
            </w:pPr>
            <w:r w:rsidRPr="00C5087D">
              <w:rPr>
                <w:rFonts w:asciiTheme="majorHAnsi" w:eastAsia="Times New Roman" w:hAnsiTheme="majorHAnsi" w:cstheme="majorHAnsi"/>
                <w:sz w:val="20"/>
                <w:szCs w:val="20"/>
                <w:lang w:eastAsia="en-AU"/>
              </w:rPr>
              <w:t>(b)</w:t>
            </w:r>
            <w:r w:rsidR="00D7219F">
              <w:rPr>
                <w:rFonts w:asciiTheme="majorHAnsi" w:eastAsia="Times New Roman" w:hAnsiTheme="majorHAnsi" w:cstheme="majorHAnsi"/>
                <w:sz w:val="20"/>
                <w:szCs w:val="20"/>
                <w:lang w:eastAsia="en-AU"/>
              </w:rPr>
              <w:t xml:space="preserve"> </w:t>
            </w:r>
            <w:r w:rsidRPr="00C5087D">
              <w:rPr>
                <w:rFonts w:asciiTheme="majorHAnsi" w:eastAsia="Times New Roman" w:hAnsiTheme="majorHAnsi" w:cstheme="majorHAnsi"/>
                <w:sz w:val="20"/>
                <w:szCs w:val="20"/>
                <w:lang w:eastAsia="en-AU"/>
              </w:rPr>
              <w:t>the care, skill and specialised knowledge required to provide the service; and</w:t>
            </w:r>
          </w:p>
          <w:p w14:paraId="15D387EC" w14:textId="049FC6E1" w:rsidR="00042AA4" w:rsidRPr="00C5087D" w:rsidRDefault="00042AA4" w:rsidP="00AF32EC">
            <w:pPr>
              <w:spacing w:after="100"/>
              <w:ind w:left="284"/>
              <w:rPr>
                <w:rFonts w:asciiTheme="majorHAnsi" w:eastAsia="Times New Roman" w:hAnsiTheme="majorHAnsi" w:cstheme="majorHAnsi"/>
                <w:sz w:val="20"/>
                <w:szCs w:val="20"/>
                <w:lang w:eastAsia="en-AU"/>
              </w:rPr>
            </w:pPr>
            <w:r w:rsidRPr="00C5087D">
              <w:rPr>
                <w:rFonts w:asciiTheme="majorHAnsi" w:eastAsia="Times New Roman" w:hAnsiTheme="majorHAnsi" w:cstheme="majorHAnsi"/>
                <w:sz w:val="20"/>
                <w:szCs w:val="20"/>
                <w:lang w:eastAsia="en-AU"/>
              </w:rPr>
              <w:t>(c)</w:t>
            </w:r>
            <w:r w:rsidR="00D7219F">
              <w:rPr>
                <w:rFonts w:asciiTheme="majorHAnsi" w:eastAsia="Times New Roman" w:hAnsiTheme="majorHAnsi" w:cstheme="majorHAnsi"/>
                <w:sz w:val="20"/>
                <w:szCs w:val="20"/>
                <w:lang w:eastAsia="en-AU"/>
              </w:rPr>
              <w:t xml:space="preserve"> </w:t>
            </w:r>
            <w:r w:rsidRPr="00C5087D">
              <w:rPr>
                <w:rFonts w:asciiTheme="majorHAnsi" w:eastAsia="Times New Roman" w:hAnsiTheme="majorHAnsi" w:cstheme="majorHAnsi"/>
                <w:sz w:val="20"/>
                <w:szCs w:val="20"/>
                <w:lang w:eastAsia="en-AU"/>
              </w:rPr>
              <w:t>the responsibility displayed in providing the service; and</w:t>
            </w:r>
          </w:p>
          <w:p w14:paraId="6F1234A2" w14:textId="009D6090" w:rsidR="00042AA4" w:rsidRPr="00C5087D" w:rsidRDefault="00042AA4" w:rsidP="00AF32EC">
            <w:pPr>
              <w:spacing w:after="100"/>
              <w:ind w:left="284"/>
              <w:rPr>
                <w:rFonts w:asciiTheme="majorHAnsi" w:eastAsia="Times New Roman" w:hAnsiTheme="majorHAnsi" w:cstheme="majorHAnsi"/>
                <w:sz w:val="20"/>
                <w:szCs w:val="20"/>
                <w:lang w:eastAsia="en-AU"/>
              </w:rPr>
            </w:pPr>
            <w:r w:rsidRPr="00C5087D">
              <w:rPr>
                <w:rFonts w:asciiTheme="majorHAnsi" w:eastAsia="Times New Roman" w:hAnsiTheme="majorHAnsi" w:cstheme="majorHAnsi"/>
                <w:sz w:val="20"/>
                <w:szCs w:val="20"/>
                <w:lang w:eastAsia="en-AU"/>
              </w:rPr>
              <w:t>(d)</w:t>
            </w:r>
            <w:r w:rsidR="00D7219F">
              <w:rPr>
                <w:rFonts w:asciiTheme="majorHAnsi" w:eastAsia="Times New Roman" w:hAnsiTheme="majorHAnsi" w:cstheme="majorHAnsi"/>
                <w:sz w:val="20"/>
                <w:szCs w:val="20"/>
                <w:lang w:eastAsia="en-AU"/>
              </w:rPr>
              <w:t xml:space="preserve"> </w:t>
            </w:r>
            <w:r w:rsidRPr="00C5087D">
              <w:rPr>
                <w:rFonts w:asciiTheme="majorHAnsi" w:eastAsia="Times New Roman" w:hAnsiTheme="majorHAnsi" w:cstheme="majorHAnsi"/>
                <w:sz w:val="20"/>
                <w:szCs w:val="20"/>
                <w:lang w:eastAsia="en-AU"/>
              </w:rPr>
              <w:t>the time within which the service was provided; and</w:t>
            </w:r>
          </w:p>
          <w:p w14:paraId="287A2B21" w14:textId="308E17FB" w:rsidR="00042AA4" w:rsidRPr="00C5087D" w:rsidRDefault="00042AA4" w:rsidP="00AF32EC">
            <w:pPr>
              <w:spacing w:after="100"/>
              <w:ind w:left="284"/>
              <w:rPr>
                <w:rFonts w:asciiTheme="majorHAnsi" w:hAnsiTheme="majorHAnsi" w:cstheme="majorHAnsi"/>
                <w:b/>
                <w:bCs/>
                <w:sz w:val="20"/>
                <w:szCs w:val="20"/>
              </w:rPr>
            </w:pPr>
            <w:r w:rsidRPr="00C5087D">
              <w:rPr>
                <w:rFonts w:asciiTheme="majorHAnsi" w:eastAsia="Times New Roman" w:hAnsiTheme="majorHAnsi" w:cstheme="majorHAnsi"/>
                <w:sz w:val="20"/>
                <w:szCs w:val="20"/>
                <w:lang w:eastAsia="en-AU"/>
              </w:rPr>
              <w:t>(e)</w:t>
            </w:r>
            <w:r w:rsidR="00D7219F">
              <w:rPr>
                <w:rFonts w:asciiTheme="majorHAnsi" w:eastAsia="Times New Roman" w:hAnsiTheme="majorHAnsi" w:cstheme="majorHAnsi"/>
                <w:sz w:val="20"/>
                <w:szCs w:val="20"/>
                <w:lang w:eastAsia="en-AU"/>
              </w:rPr>
              <w:t xml:space="preserve"> </w:t>
            </w:r>
            <w:r w:rsidRPr="00C5087D">
              <w:rPr>
                <w:rFonts w:asciiTheme="majorHAnsi" w:eastAsia="Times New Roman" w:hAnsiTheme="majorHAnsi" w:cstheme="majorHAnsi"/>
                <w:sz w:val="20"/>
                <w:szCs w:val="20"/>
                <w:lang w:eastAsia="en-AU"/>
              </w:rPr>
              <w:t>the place where, and the circumstances in which, the service was provided.</w:t>
            </w:r>
          </w:p>
        </w:tc>
        <w:tc>
          <w:tcPr>
            <w:tcW w:w="4365" w:type="dxa"/>
          </w:tcPr>
          <w:p w14:paraId="23421AC2" w14:textId="77777777" w:rsidR="00042AA4" w:rsidRDefault="00042AA4" w:rsidP="00AF32EC">
            <w:pPr>
              <w:rPr>
                <w:rFonts w:asciiTheme="majorHAnsi" w:eastAsia="Times New Roman" w:hAnsiTheme="majorHAnsi" w:cstheme="majorHAnsi"/>
                <w:sz w:val="20"/>
                <w:szCs w:val="20"/>
                <w:lang w:eastAsia="en-AU"/>
              </w:rPr>
            </w:pPr>
            <w:r w:rsidRPr="00A254F3">
              <w:rPr>
                <w:rFonts w:asciiTheme="majorHAnsi" w:eastAsia="Times New Roman" w:hAnsiTheme="majorHAnsi" w:cstheme="majorHAnsi"/>
                <w:sz w:val="20"/>
                <w:szCs w:val="20"/>
                <w:lang w:eastAsia="en-AU"/>
              </w:rPr>
              <w:lastRenderedPageBreak/>
              <w:t>If the tribunal makes an order for a professional administer,</w:t>
            </w:r>
            <w:r>
              <w:rPr>
                <w:rFonts w:asciiTheme="majorHAnsi" w:hAnsiTheme="majorHAnsi" w:cstheme="majorHAnsi"/>
                <w:b/>
                <w:bCs/>
                <w:sz w:val="20"/>
                <w:szCs w:val="20"/>
              </w:rPr>
              <w:t xml:space="preserve"> </w:t>
            </w:r>
            <w:r>
              <w:rPr>
                <w:rFonts w:asciiTheme="majorHAnsi" w:hAnsiTheme="majorHAnsi" w:cstheme="majorHAnsi"/>
                <w:sz w:val="20"/>
                <w:szCs w:val="20"/>
              </w:rPr>
              <w:t xml:space="preserve">then remuneration of professional administrators is negotiated on a case by case basis. </w:t>
            </w:r>
            <w:r w:rsidRPr="009314B1">
              <w:rPr>
                <w:rFonts w:asciiTheme="majorHAnsi" w:eastAsia="Times New Roman" w:hAnsiTheme="majorHAnsi" w:cstheme="majorHAnsi"/>
                <w:sz w:val="20"/>
                <w:szCs w:val="20"/>
                <w:lang w:eastAsia="en-AU"/>
              </w:rPr>
              <w:t>QCAT recommends that a person obtains an estimate of fees from a professional administrator, the</w:t>
            </w:r>
            <w:r>
              <w:rPr>
                <w:rFonts w:asciiTheme="majorHAnsi" w:eastAsia="Times New Roman" w:hAnsiTheme="majorHAnsi" w:cstheme="majorHAnsi"/>
                <w:sz w:val="20"/>
                <w:szCs w:val="20"/>
                <w:lang w:eastAsia="en-AU"/>
              </w:rPr>
              <w:t xml:space="preserve"> </w:t>
            </w:r>
            <w:hyperlink r:id="rId17" w:tgtFrame="_blank" w:tooltip="Public Trustee of Queensland" w:history="1">
              <w:r w:rsidRPr="009314B1">
                <w:rPr>
                  <w:rFonts w:asciiTheme="majorHAnsi" w:eastAsia="Times New Roman" w:hAnsiTheme="majorHAnsi" w:cstheme="majorHAnsi"/>
                  <w:sz w:val="20"/>
                  <w:szCs w:val="20"/>
                  <w:lang w:eastAsia="en-AU"/>
                </w:rPr>
                <w:t>Public Trustee of Queensland</w:t>
              </w:r>
            </w:hyperlink>
            <w:r w:rsidRPr="009314B1">
              <w:rPr>
                <w:rFonts w:asciiTheme="majorHAnsi" w:eastAsia="Times New Roman" w:hAnsiTheme="majorHAnsi" w:cstheme="majorHAnsi"/>
                <w:sz w:val="20"/>
                <w:szCs w:val="20"/>
                <w:lang w:eastAsia="en-AU"/>
              </w:rPr>
              <w:t xml:space="preserve"> or a trustee company.</w:t>
            </w:r>
          </w:p>
          <w:p w14:paraId="655AF3DF" w14:textId="77777777" w:rsidR="00D7219F" w:rsidRDefault="00042AA4" w:rsidP="00D7219F">
            <w:pPr>
              <w:rPr>
                <w:rFonts w:asciiTheme="majorHAnsi" w:hAnsiTheme="majorHAnsi" w:cstheme="majorHAnsi"/>
                <w:sz w:val="20"/>
                <w:szCs w:val="20"/>
              </w:rPr>
            </w:pPr>
            <w:r>
              <w:rPr>
                <w:rFonts w:asciiTheme="majorHAnsi" w:hAnsiTheme="majorHAnsi" w:cstheme="majorHAnsi"/>
                <w:sz w:val="20"/>
                <w:szCs w:val="20"/>
              </w:rPr>
              <w:t>The Public Trustee has a detailed schedule for its services. F</w:t>
            </w:r>
            <w:r w:rsidRPr="00C87409">
              <w:rPr>
                <w:rFonts w:asciiTheme="majorHAnsi" w:hAnsiTheme="majorHAnsi" w:cstheme="majorHAnsi"/>
                <w:sz w:val="20"/>
                <w:szCs w:val="20"/>
              </w:rPr>
              <w:t>ees are based on the total value of the customer's assessable assets</w:t>
            </w:r>
            <w:r>
              <w:rPr>
                <w:rFonts w:asciiTheme="majorHAnsi" w:hAnsiTheme="majorHAnsi" w:cstheme="majorHAnsi"/>
                <w:sz w:val="20"/>
                <w:szCs w:val="20"/>
              </w:rPr>
              <w:t xml:space="preserve"> (e.g., the fee for managing assets with a value of between $100,000 and $200,000 is $</w:t>
            </w:r>
            <w:r w:rsidRPr="00C87409">
              <w:rPr>
                <w:rFonts w:asciiTheme="majorHAnsi" w:hAnsiTheme="majorHAnsi" w:cstheme="majorHAnsi"/>
                <w:sz w:val="20"/>
                <w:szCs w:val="20"/>
              </w:rPr>
              <w:t xml:space="preserve"> 1,306.25</w:t>
            </w:r>
            <w:r>
              <w:rPr>
                <w:rFonts w:asciiTheme="majorHAnsi" w:hAnsiTheme="majorHAnsi" w:cstheme="majorHAnsi"/>
                <w:sz w:val="20"/>
                <w:szCs w:val="20"/>
              </w:rPr>
              <w:t xml:space="preserve"> per annum</w:t>
            </w:r>
            <w:r w:rsidRPr="00C87409">
              <w:rPr>
                <w:rFonts w:asciiTheme="majorHAnsi" w:hAnsiTheme="majorHAnsi" w:cstheme="majorHAnsi"/>
                <w:sz w:val="20"/>
                <w:szCs w:val="20"/>
              </w:rPr>
              <w:t>)</w:t>
            </w:r>
            <w:r>
              <w:rPr>
                <w:rFonts w:asciiTheme="majorHAnsi" w:hAnsiTheme="majorHAnsi" w:cstheme="majorHAnsi"/>
                <w:sz w:val="20"/>
                <w:szCs w:val="20"/>
              </w:rPr>
              <w:t xml:space="preserve">. </w:t>
            </w:r>
          </w:p>
          <w:p w14:paraId="048B2FA8" w14:textId="267EB10D" w:rsidR="00042AA4" w:rsidRPr="00172D69" w:rsidRDefault="00042AA4" w:rsidP="00D7219F">
            <w:pPr>
              <w:rPr>
                <w:rFonts w:asciiTheme="majorHAnsi" w:eastAsia="Times New Roman" w:hAnsiTheme="majorHAnsi" w:cstheme="majorHAnsi"/>
                <w:sz w:val="20"/>
                <w:szCs w:val="20"/>
                <w:lang w:eastAsia="en-AU"/>
              </w:rPr>
            </w:pPr>
            <w:r w:rsidRPr="00172D69">
              <w:rPr>
                <w:rFonts w:asciiTheme="majorHAnsi" w:eastAsia="Times New Roman" w:hAnsiTheme="majorHAnsi" w:cstheme="majorHAnsi"/>
                <w:sz w:val="20"/>
                <w:szCs w:val="20"/>
                <w:lang w:eastAsia="en-AU"/>
              </w:rPr>
              <w:lastRenderedPageBreak/>
              <w:t xml:space="preserve">The Public Trustee </w:t>
            </w:r>
            <w:r>
              <w:rPr>
                <w:rFonts w:asciiTheme="majorHAnsi" w:eastAsia="Times New Roman" w:hAnsiTheme="majorHAnsi" w:cstheme="majorHAnsi"/>
                <w:sz w:val="20"/>
                <w:szCs w:val="20"/>
                <w:lang w:eastAsia="en-AU"/>
              </w:rPr>
              <w:t xml:space="preserve">also </w:t>
            </w:r>
            <w:r w:rsidRPr="00172D69">
              <w:rPr>
                <w:rFonts w:asciiTheme="majorHAnsi" w:eastAsia="Times New Roman" w:hAnsiTheme="majorHAnsi" w:cstheme="majorHAnsi"/>
                <w:sz w:val="20"/>
                <w:szCs w:val="20"/>
                <w:lang w:eastAsia="en-AU"/>
              </w:rPr>
              <w:t xml:space="preserve">recoups </w:t>
            </w:r>
            <w:r>
              <w:rPr>
                <w:rFonts w:asciiTheme="majorHAnsi" w:eastAsia="Times New Roman" w:hAnsiTheme="majorHAnsi" w:cstheme="majorHAnsi"/>
                <w:sz w:val="20"/>
                <w:szCs w:val="20"/>
                <w:lang w:eastAsia="en-AU"/>
              </w:rPr>
              <w:t xml:space="preserve">the </w:t>
            </w:r>
            <w:r w:rsidRPr="00172D69">
              <w:rPr>
                <w:rFonts w:asciiTheme="majorHAnsi" w:eastAsia="Times New Roman" w:hAnsiTheme="majorHAnsi" w:cstheme="majorHAnsi"/>
                <w:sz w:val="20"/>
                <w:szCs w:val="20"/>
                <w:lang w:eastAsia="en-AU"/>
              </w:rPr>
              <w:t xml:space="preserve">costs </w:t>
            </w:r>
            <w:r>
              <w:rPr>
                <w:rFonts w:asciiTheme="majorHAnsi" w:eastAsia="Times New Roman" w:hAnsiTheme="majorHAnsi" w:cstheme="majorHAnsi"/>
                <w:sz w:val="20"/>
                <w:szCs w:val="20"/>
                <w:lang w:eastAsia="en-AU"/>
              </w:rPr>
              <w:t xml:space="preserve">of </w:t>
            </w:r>
            <w:r w:rsidRPr="00172D69">
              <w:rPr>
                <w:rFonts w:asciiTheme="majorHAnsi" w:eastAsia="Times New Roman" w:hAnsiTheme="majorHAnsi" w:cstheme="majorHAnsi"/>
                <w:sz w:val="20"/>
                <w:szCs w:val="20"/>
                <w:lang w:eastAsia="en-AU"/>
              </w:rPr>
              <w:t xml:space="preserve">running their systems and for photocopying, postage and phone </w:t>
            </w:r>
            <w:r>
              <w:rPr>
                <w:rFonts w:asciiTheme="majorHAnsi" w:eastAsia="Times New Roman" w:hAnsiTheme="majorHAnsi" w:cstheme="majorHAnsi"/>
                <w:sz w:val="20"/>
                <w:szCs w:val="20"/>
                <w:lang w:eastAsia="en-AU"/>
              </w:rPr>
              <w:t xml:space="preserve">calls. An </w:t>
            </w:r>
            <w:r w:rsidRPr="00172D69">
              <w:rPr>
                <w:rFonts w:asciiTheme="majorHAnsi" w:eastAsia="Times New Roman" w:hAnsiTheme="majorHAnsi" w:cstheme="majorHAnsi"/>
                <w:sz w:val="20"/>
                <w:szCs w:val="20"/>
                <w:lang w:eastAsia="en-AU"/>
              </w:rPr>
              <w:t xml:space="preserve">amount </w:t>
            </w:r>
            <w:r>
              <w:rPr>
                <w:rFonts w:asciiTheme="majorHAnsi" w:eastAsia="Times New Roman" w:hAnsiTheme="majorHAnsi" w:cstheme="majorHAnsi"/>
                <w:sz w:val="20"/>
                <w:szCs w:val="20"/>
                <w:lang w:eastAsia="en-AU"/>
              </w:rPr>
              <w:t xml:space="preserve">is charged </w:t>
            </w:r>
            <w:r w:rsidRPr="00172D69">
              <w:rPr>
                <w:rFonts w:asciiTheme="majorHAnsi" w:eastAsia="Times New Roman" w:hAnsiTheme="majorHAnsi" w:cstheme="majorHAnsi"/>
                <w:sz w:val="20"/>
                <w:szCs w:val="20"/>
                <w:lang w:eastAsia="en-AU"/>
              </w:rPr>
              <w:t>based on the type of service and the number of transactions required to provide the service.</w:t>
            </w:r>
            <w:r>
              <w:rPr>
                <w:rFonts w:asciiTheme="majorHAnsi" w:eastAsia="Times New Roman" w:hAnsiTheme="majorHAnsi" w:cstheme="majorHAnsi"/>
                <w:sz w:val="20"/>
                <w:szCs w:val="20"/>
                <w:lang w:eastAsia="en-AU"/>
              </w:rPr>
              <w:t xml:space="preserve"> For example, if there are between 71 – 90 transactions per annum (e.g., phone calls) then an additional charge of $80 is applied.</w:t>
            </w:r>
          </w:p>
          <w:p w14:paraId="6AAFFD2C" w14:textId="77777777" w:rsidR="00042AA4" w:rsidRDefault="00042AA4" w:rsidP="00AF32EC">
            <w:pPr>
              <w:rPr>
                <w:rFonts w:asciiTheme="majorHAnsi" w:hAnsiTheme="majorHAnsi" w:cstheme="majorHAnsi"/>
                <w:sz w:val="20"/>
                <w:szCs w:val="20"/>
              </w:rPr>
            </w:pPr>
            <w:r w:rsidRPr="00C87409">
              <w:rPr>
                <w:rFonts w:asciiTheme="majorHAnsi" w:hAnsiTheme="majorHAnsi" w:cstheme="majorHAnsi"/>
                <w:sz w:val="20"/>
                <w:szCs w:val="20"/>
              </w:rPr>
              <w:t>The fee for additional services is calculated at an hourly rate of $267.85 (including GST).</w:t>
            </w:r>
          </w:p>
          <w:p w14:paraId="4A3B13D7" w14:textId="4F209A19" w:rsidR="00BD2264" w:rsidRPr="00C87409" w:rsidRDefault="00042AA4" w:rsidP="00D7219F">
            <w:pPr>
              <w:rPr>
                <w:rFonts w:asciiTheme="majorHAnsi" w:hAnsiTheme="majorHAnsi" w:cstheme="majorHAnsi"/>
                <w:sz w:val="20"/>
                <w:szCs w:val="20"/>
              </w:rPr>
            </w:pPr>
            <w:r>
              <w:rPr>
                <w:rFonts w:asciiTheme="majorHAnsi" w:hAnsiTheme="majorHAnsi" w:cstheme="majorHAnsi"/>
                <w:sz w:val="20"/>
                <w:szCs w:val="20"/>
              </w:rPr>
              <w:t xml:space="preserve">Many clients are eligible for </w:t>
            </w:r>
            <w:r w:rsidR="00176503">
              <w:rPr>
                <w:rFonts w:asciiTheme="majorHAnsi" w:hAnsiTheme="majorHAnsi" w:cstheme="majorHAnsi"/>
                <w:sz w:val="20"/>
                <w:szCs w:val="20"/>
              </w:rPr>
              <w:t xml:space="preserve">the </w:t>
            </w:r>
            <w:r>
              <w:rPr>
                <w:rFonts w:asciiTheme="majorHAnsi" w:hAnsiTheme="majorHAnsi" w:cstheme="majorHAnsi"/>
                <w:sz w:val="20"/>
                <w:szCs w:val="20"/>
              </w:rPr>
              <w:t>Community Service Obligation hardship rebate.</w:t>
            </w:r>
          </w:p>
        </w:tc>
        <w:tc>
          <w:tcPr>
            <w:tcW w:w="3776" w:type="dxa"/>
          </w:tcPr>
          <w:p w14:paraId="5774F772" w14:textId="30C48082" w:rsidR="00042AA4" w:rsidRDefault="00D7219F" w:rsidP="00AF32EC">
            <w:pPr>
              <w:rPr>
                <w:rFonts w:asciiTheme="majorHAnsi" w:hAnsiTheme="majorHAnsi" w:cstheme="majorHAnsi"/>
                <w:b/>
                <w:bCs/>
                <w:sz w:val="20"/>
                <w:szCs w:val="20"/>
              </w:rPr>
            </w:pPr>
            <w:r>
              <w:rPr>
                <w:rFonts w:asciiTheme="majorHAnsi" w:hAnsiTheme="majorHAnsi" w:cstheme="majorHAnsi"/>
                <w:sz w:val="20"/>
                <w:szCs w:val="20"/>
              </w:rPr>
              <w:lastRenderedPageBreak/>
              <w:t>In a recent review (January 2021) of the Public Trustee’s fees, it was recommended that there be a full review of fees and charges owing to their complexity, lack of fairness, and lack of transparency.</w:t>
            </w:r>
          </w:p>
          <w:p w14:paraId="3D45B02C" w14:textId="77777777" w:rsidR="00042AA4" w:rsidRPr="00C5087D" w:rsidRDefault="00042AA4" w:rsidP="00AF32EC">
            <w:pPr>
              <w:rPr>
                <w:rFonts w:asciiTheme="majorHAnsi" w:hAnsiTheme="majorHAnsi" w:cstheme="majorHAnsi"/>
                <w:b/>
                <w:bCs/>
                <w:sz w:val="20"/>
                <w:szCs w:val="20"/>
              </w:rPr>
            </w:pPr>
          </w:p>
        </w:tc>
      </w:tr>
      <w:tr w:rsidR="00042AA4" w:rsidRPr="00C5087D" w14:paraId="1E695A04" w14:textId="77777777" w:rsidTr="00AF32EC">
        <w:tc>
          <w:tcPr>
            <w:tcW w:w="1179" w:type="dxa"/>
          </w:tcPr>
          <w:p w14:paraId="3372E446" w14:textId="77777777" w:rsidR="00042AA4" w:rsidRPr="00C5087D" w:rsidRDefault="00042AA4" w:rsidP="00AF32EC">
            <w:pPr>
              <w:rPr>
                <w:rFonts w:asciiTheme="majorHAnsi" w:hAnsiTheme="majorHAnsi" w:cstheme="majorHAnsi"/>
                <w:sz w:val="20"/>
                <w:szCs w:val="20"/>
              </w:rPr>
            </w:pPr>
            <w:r>
              <w:rPr>
                <w:rFonts w:asciiTheme="majorHAnsi" w:hAnsiTheme="majorHAnsi" w:cstheme="majorHAnsi"/>
                <w:sz w:val="20"/>
                <w:szCs w:val="20"/>
              </w:rPr>
              <w:t>SA</w:t>
            </w:r>
          </w:p>
        </w:tc>
        <w:tc>
          <w:tcPr>
            <w:tcW w:w="4628" w:type="dxa"/>
          </w:tcPr>
          <w:p w14:paraId="738CCF99" w14:textId="77777777" w:rsidR="00466BA9" w:rsidRDefault="00042AA4" w:rsidP="00E86628">
            <w:pPr>
              <w:keepLines/>
              <w:autoSpaceDE w:val="0"/>
              <w:autoSpaceDN w:val="0"/>
              <w:adjustRightInd w:val="0"/>
              <w:rPr>
                <w:rFonts w:asciiTheme="majorHAnsi" w:hAnsiTheme="majorHAnsi" w:cstheme="majorHAnsi"/>
                <w:i/>
                <w:iCs/>
                <w:sz w:val="20"/>
                <w:szCs w:val="20"/>
              </w:rPr>
            </w:pPr>
            <w:bookmarkStart w:id="105" w:name="Elkera_Print_TOC45"/>
            <w:bookmarkStart w:id="106" w:name="Elkera_Print_BK45"/>
            <w:r w:rsidRPr="00C5087D">
              <w:rPr>
                <w:rFonts w:asciiTheme="majorHAnsi" w:hAnsiTheme="majorHAnsi" w:cstheme="majorHAnsi"/>
                <w:i/>
                <w:iCs/>
                <w:sz w:val="20"/>
                <w:szCs w:val="20"/>
              </w:rPr>
              <w:t>Guardianship and Administration Act 1993</w:t>
            </w:r>
          </w:p>
          <w:p w14:paraId="39F6EAEA" w14:textId="123CB301" w:rsidR="00042AA4" w:rsidRPr="00EA1AF7" w:rsidRDefault="00042AA4" w:rsidP="00EA1AF7">
            <w:pPr>
              <w:keepLines/>
              <w:autoSpaceDE w:val="0"/>
              <w:autoSpaceDN w:val="0"/>
              <w:adjustRightInd w:val="0"/>
              <w:rPr>
                <w:rFonts w:asciiTheme="majorHAnsi" w:hAnsiTheme="majorHAnsi"/>
                <w:b/>
                <w:sz w:val="20"/>
              </w:rPr>
            </w:pPr>
            <w:r w:rsidRPr="00D54E39">
              <w:rPr>
                <w:rFonts w:asciiTheme="majorHAnsi" w:hAnsiTheme="majorHAnsi"/>
                <w:sz w:val="20"/>
              </w:rPr>
              <w:t>46—Remuneration of professional administrators</w:t>
            </w:r>
            <w:bookmarkEnd w:id="105"/>
            <w:bookmarkEnd w:id="106"/>
          </w:p>
          <w:p w14:paraId="509EF4CA" w14:textId="77777777" w:rsidR="00042AA4" w:rsidRPr="00C5087D" w:rsidRDefault="00042AA4" w:rsidP="00AF32EC">
            <w:pPr>
              <w:keepLines/>
              <w:autoSpaceDE w:val="0"/>
              <w:autoSpaceDN w:val="0"/>
              <w:adjustRightInd w:val="0"/>
              <w:ind w:left="284" w:hanging="284"/>
              <w:rPr>
                <w:rFonts w:asciiTheme="majorHAnsi" w:hAnsiTheme="majorHAnsi" w:cstheme="majorHAnsi"/>
                <w:sz w:val="20"/>
                <w:szCs w:val="20"/>
              </w:rPr>
            </w:pPr>
            <w:bookmarkStart w:id="107" w:name="id093f2896_604c_4a04_b2be_f5cebe4bcf97"/>
            <w:r w:rsidRPr="00C5087D">
              <w:rPr>
                <w:rFonts w:asciiTheme="majorHAnsi" w:hAnsiTheme="majorHAnsi" w:cstheme="majorHAnsi"/>
                <w:sz w:val="20"/>
                <w:szCs w:val="20"/>
              </w:rPr>
              <w:t>(1)</w:t>
            </w:r>
            <w:r w:rsidRPr="00C5087D">
              <w:rPr>
                <w:rFonts w:asciiTheme="majorHAnsi" w:hAnsiTheme="majorHAnsi" w:cstheme="majorHAnsi"/>
                <w:sz w:val="20"/>
                <w:szCs w:val="20"/>
              </w:rPr>
              <w:tab/>
              <w:t xml:space="preserve"> Subject to </w:t>
            </w:r>
            <w:hyperlink w:anchor="id16756b1a_9974_439e_8bfa_19aa8e214fa3" w:history="1">
              <w:r w:rsidRPr="00C5087D">
                <w:rPr>
                  <w:rFonts w:asciiTheme="majorHAnsi" w:hAnsiTheme="majorHAnsi" w:cstheme="majorHAnsi"/>
                  <w:sz w:val="20"/>
                  <w:szCs w:val="20"/>
                </w:rPr>
                <w:t>subsection (3)</w:t>
              </w:r>
            </w:hyperlink>
            <w:r w:rsidRPr="00C5087D">
              <w:rPr>
                <w:rFonts w:asciiTheme="majorHAnsi" w:hAnsiTheme="majorHAnsi" w:cstheme="majorHAnsi"/>
                <w:sz w:val="20"/>
                <w:szCs w:val="20"/>
              </w:rPr>
              <w:t>, an administrator who carries on a business of or including the administration of estates (whether under this Act or otherwise) is entitled to remuneration out of the estate of the protected person for the work involved in administering that estate (whether the work was or is performed before or after the commencement of this Act) if the Tribunal so determines.</w:t>
            </w:r>
            <w:bookmarkEnd w:id="107"/>
          </w:p>
          <w:p w14:paraId="138790AB" w14:textId="0C908FCA" w:rsidR="00042AA4" w:rsidRPr="00C5087D" w:rsidRDefault="00042AA4" w:rsidP="00EA1AF7">
            <w:pPr>
              <w:keepLines/>
              <w:autoSpaceDE w:val="0"/>
              <w:autoSpaceDN w:val="0"/>
              <w:adjustRightInd w:val="0"/>
              <w:ind w:left="284" w:hanging="227"/>
              <w:rPr>
                <w:rFonts w:asciiTheme="majorHAnsi" w:hAnsiTheme="majorHAnsi" w:cstheme="majorHAnsi"/>
                <w:b/>
                <w:bCs/>
                <w:sz w:val="20"/>
                <w:szCs w:val="20"/>
              </w:rPr>
            </w:pPr>
            <w:r w:rsidRPr="00C5087D">
              <w:rPr>
                <w:rFonts w:asciiTheme="majorHAnsi" w:hAnsiTheme="majorHAnsi" w:cstheme="majorHAnsi"/>
                <w:sz w:val="20"/>
                <w:szCs w:val="20"/>
              </w:rPr>
              <w:lastRenderedPageBreak/>
              <w:t>(2) The rate of remuneration will be the prescribed rate unless the Tribunal thinks good reason exists for fixing some other higher or lower rate in relation to any particular estate and orders accordingly.</w:t>
            </w:r>
          </w:p>
        </w:tc>
        <w:tc>
          <w:tcPr>
            <w:tcW w:w="4365" w:type="dxa"/>
          </w:tcPr>
          <w:p w14:paraId="52C59968" w14:textId="77777777" w:rsidR="00042AA4" w:rsidRPr="00EA1AF7" w:rsidRDefault="00042AA4" w:rsidP="00AF32EC">
            <w:pPr>
              <w:rPr>
                <w:rFonts w:asciiTheme="majorHAnsi" w:hAnsiTheme="majorHAnsi"/>
                <w:i/>
                <w:sz w:val="20"/>
              </w:rPr>
            </w:pPr>
            <w:r w:rsidRPr="00EA1AF7">
              <w:rPr>
                <w:rFonts w:asciiTheme="majorHAnsi" w:hAnsiTheme="majorHAnsi"/>
                <w:i/>
                <w:sz w:val="20"/>
              </w:rPr>
              <w:lastRenderedPageBreak/>
              <w:t>Guardianship and Administration Regulations 2015</w:t>
            </w:r>
          </w:p>
          <w:p w14:paraId="019B07D9" w14:textId="77777777" w:rsidR="00042AA4" w:rsidRPr="00C5087D" w:rsidRDefault="00042AA4" w:rsidP="00AF32EC">
            <w:pPr>
              <w:rPr>
                <w:rFonts w:asciiTheme="majorHAnsi" w:hAnsiTheme="majorHAnsi" w:cstheme="majorHAnsi"/>
                <w:b/>
                <w:bCs/>
                <w:sz w:val="20"/>
                <w:szCs w:val="20"/>
              </w:rPr>
            </w:pPr>
            <w:r w:rsidRPr="00C5087D">
              <w:rPr>
                <w:rFonts w:asciiTheme="majorHAnsi" w:hAnsiTheme="majorHAnsi" w:cstheme="majorHAnsi"/>
                <w:sz w:val="20"/>
                <w:szCs w:val="20"/>
              </w:rPr>
              <w:t>Regulation 7—Rate of remuneration for professional administrators (section 46(2) of Act) For the purposes of section 46(2) of the Act, the prescribed rate is $71.50 for each hour.</w:t>
            </w:r>
          </w:p>
        </w:tc>
        <w:tc>
          <w:tcPr>
            <w:tcW w:w="3776" w:type="dxa"/>
          </w:tcPr>
          <w:p w14:paraId="3388B3E0" w14:textId="77777777" w:rsidR="00042AA4" w:rsidRPr="00C5087D" w:rsidRDefault="00042AA4" w:rsidP="00AF32EC">
            <w:pPr>
              <w:rPr>
                <w:rFonts w:asciiTheme="majorHAnsi" w:hAnsiTheme="majorHAnsi" w:cstheme="majorHAnsi"/>
                <w:b/>
                <w:bCs/>
                <w:sz w:val="20"/>
                <w:szCs w:val="20"/>
              </w:rPr>
            </w:pPr>
          </w:p>
        </w:tc>
      </w:tr>
      <w:tr w:rsidR="00042AA4" w:rsidRPr="00C5087D" w14:paraId="3C5592D5" w14:textId="77777777" w:rsidTr="00AF32EC">
        <w:tc>
          <w:tcPr>
            <w:tcW w:w="1179" w:type="dxa"/>
          </w:tcPr>
          <w:p w14:paraId="4AAF0EED" w14:textId="77777777" w:rsidR="00042AA4" w:rsidRPr="00C5087D" w:rsidRDefault="00042AA4" w:rsidP="00AF32EC">
            <w:pPr>
              <w:rPr>
                <w:rFonts w:asciiTheme="majorHAnsi" w:hAnsiTheme="majorHAnsi" w:cstheme="majorHAnsi"/>
                <w:sz w:val="20"/>
                <w:szCs w:val="20"/>
              </w:rPr>
            </w:pPr>
            <w:r>
              <w:rPr>
                <w:rFonts w:asciiTheme="majorHAnsi" w:hAnsiTheme="majorHAnsi" w:cstheme="majorHAnsi"/>
                <w:sz w:val="20"/>
                <w:szCs w:val="20"/>
              </w:rPr>
              <w:t>WA</w:t>
            </w:r>
          </w:p>
        </w:tc>
        <w:tc>
          <w:tcPr>
            <w:tcW w:w="4628" w:type="dxa"/>
          </w:tcPr>
          <w:p w14:paraId="38DC7686" w14:textId="77777777" w:rsidR="00042AA4" w:rsidRPr="001549B0" w:rsidRDefault="00042AA4" w:rsidP="00AF32EC">
            <w:pPr>
              <w:rPr>
                <w:rFonts w:asciiTheme="majorHAnsi" w:hAnsiTheme="majorHAnsi" w:cstheme="majorHAnsi"/>
                <w:i/>
                <w:iCs/>
                <w:sz w:val="20"/>
                <w:szCs w:val="20"/>
              </w:rPr>
            </w:pPr>
            <w:r w:rsidRPr="001549B0">
              <w:rPr>
                <w:rFonts w:asciiTheme="majorHAnsi" w:hAnsiTheme="majorHAnsi" w:cstheme="majorHAnsi"/>
                <w:i/>
                <w:iCs/>
                <w:sz w:val="20"/>
                <w:szCs w:val="20"/>
              </w:rPr>
              <w:t>Guardianship and Administration Act 1990</w:t>
            </w:r>
          </w:p>
          <w:p w14:paraId="3E078FF5" w14:textId="77777777" w:rsidR="00D7219F" w:rsidRDefault="00042AA4" w:rsidP="00042AA4">
            <w:pPr>
              <w:rPr>
                <w:rFonts w:asciiTheme="majorHAnsi" w:hAnsiTheme="majorHAnsi" w:cstheme="majorHAnsi"/>
                <w:sz w:val="20"/>
                <w:szCs w:val="20"/>
              </w:rPr>
            </w:pPr>
            <w:r w:rsidRPr="001549B0">
              <w:rPr>
                <w:rFonts w:asciiTheme="majorHAnsi" w:hAnsiTheme="majorHAnsi" w:cstheme="majorHAnsi"/>
                <w:sz w:val="20"/>
                <w:szCs w:val="20"/>
              </w:rPr>
              <w:t>Section 117. Remuneration</w:t>
            </w:r>
          </w:p>
          <w:p w14:paraId="1CA0C62D" w14:textId="432A73E2" w:rsidR="00D7219F" w:rsidRDefault="00042AA4" w:rsidP="00D7219F">
            <w:pPr>
              <w:ind w:left="129"/>
              <w:rPr>
                <w:rFonts w:asciiTheme="majorHAnsi" w:hAnsiTheme="majorHAnsi" w:cstheme="majorHAnsi"/>
                <w:sz w:val="20"/>
                <w:szCs w:val="20"/>
              </w:rPr>
            </w:pPr>
            <w:r w:rsidRPr="001549B0">
              <w:rPr>
                <w:rFonts w:asciiTheme="majorHAnsi" w:hAnsiTheme="majorHAnsi" w:cstheme="majorHAnsi"/>
                <w:sz w:val="20"/>
                <w:szCs w:val="20"/>
              </w:rPr>
              <w:t>(1) The State Administrative Tribunal may fix remuneration or a rate of remuneration and order that the same be paid to an administrator out of the estate of the represented person if the Tribunal considers that, because of the size or complexity of the estate or both, remuneration should be paid to the administrator.</w:t>
            </w:r>
          </w:p>
          <w:p w14:paraId="0ED4A43B" w14:textId="77777777" w:rsidR="00D7219F" w:rsidRDefault="00042AA4" w:rsidP="00D7219F">
            <w:pPr>
              <w:ind w:left="129"/>
              <w:rPr>
                <w:rFonts w:asciiTheme="majorHAnsi" w:hAnsiTheme="majorHAnsi" w:cstheme="majorHAnsi"/>
                <w:sz w:val="20"/>
                <w:szCs w:val="20"/>
              </w:rPr>
            </w:pPr>
            <w:r w:rsidRPr="001549B0">
              <w:rPr>
                <w:rFonts w:asciiTheme="majorHAnsi" w:hAnsiTheme="majorHAnsi" w:cstheme="majorHAnsi"/>
                <w:sz w:val="20"/>
                <w:szCs w:val="20"/>
              </w:rPr>
              <w:t>(2) A guardian, and except as provided in subsection (1) an administrator, shall not receive remuneration for services rendered to the represented person.</w:t>
            </w:r>
          </w:p>
          <w:p w14:paraId="6387C423" w14:textId="28F49565" w:rsidR="00D7219F" w:rsidRDefault="00042AA4" w:rsidP="00D7219F">
            <w:pPr>
              <w:ind w:left="129"/>
              <w:rPr>
                <w:rFonts w:asciiTheme="majorHAnsi" w:hAnsiTheme="majorHAnsi" w:cstheme="majorHAnsi"/>
                <w:sz w:val="20"/>
                <w:szCs w:val="20"/>
              </w:rPr>
            </w:pPr>
            <w:r w:rsidRPr="001549B0">
              <w:rPr>
                <w:rFonts w:asciiTheme="majorHAnsi" w:hAnsiTheme="majorHAnsi" w:cstheme="majorHAnsi"/>
                <w:sz w:val="20"/>
                <w:szCs w:val="20"/>
              </w:rPr>
              <w:t>(3) Nothing in this section prevents the Public Trustee from receiving remuneration under the Public Trustee Act 1941; or</w:t>
            </w:r>
            <w:r w:rsidR="00D7219F">
              <w:rPr>
                <w:rFonts w:asciiTheme="majorHAnsi" w:hAnsiTheme="majorHAnsi" w:cstheme="majorHAnsi"/>
                <w:sz w:val="20"/>
                <w:szCs w:val="20"/>
              </w:rPr>
              <w:t xml:space="preserve"> </w:t>
            </w:r>
            <w:r w:rsidRPr="001549B0">
              <w:rPr>
                <w:rFonts w:asciiTheme="majorHAnsi" w:hAnsiTheme="majorHAnsi" w:cstheme="majorHAnsi"/>
                <w:sz w:val="20"/>
                <w:szCs w:val="20"/>
              </w:rPr>
              <w:t>limits the operation of section 16 of this Act or section 39, 87 or 88 of the State Administrative Tribunal Act 2004.</w:t>
            </w:r>
          </w:p>
          <w:p w14:paraId="76849969" w14:textId="254502C3" w:rsidR="00042AA4" w:rsidRPr="00C5087D" w:rsidRDefault="00042AA4" w:rsidP="00D7219F">
            <w:pPr>
              <w:ind w:left="129"/>
              <w:rPr>
                <w:rFonts w:asciiTheme="majorHAnsi" w:hAnsiTheme="majorHAnsi" w:cstheme="majorHAnsi"/>
                <w:b/>
                <w:bCs/>
                <w:sz w:val="20"/>
                <w:szCs w:val="20"/>
              </w:rPr>
            </w:pPr>
            <w:r w:rsidRPr="001549B0">
              <w:rPr>
                <w:rFonts w:asciiTheme="majorHAnsi" w:hAnsiTheme="majorHAnsi" w:cstheme="majorHAnsi"/>
                <w:sz w:val="20"/>
                <w:szCs w:val="20"/>
              </w:rPr>
              <w:t>(4) Subject to subsection (3)(a), a corporate trustee shall only be entitled to commission in respect of the capital of the estate of a represented person to the extent that the State Administrative Tribunal expressly allows.</w:t>
            </w:r>
          </w:p>
        </w:tc>
        <w:tc>
          <w:tcPr>
            <w:tcW w:w="4365" w:type="dxa"/>
          </w:tcPr>
          <w:p w14:paraId="57FE43A2" w14:textId="77777777" w:rsidR="00042AA4" w:rsidRPr="00426915" w:rsidRDefault="00042AA4" w:rsidP="00AF32EC">
            <w:pPr>
              <w:rPr>
                <w:rFonts w:asciiTheme="majorHAnsi" w:hAnsiTheme="majorHAnsi" w:cstheme="majorHAnsi"/>
                <w:sz w:val="20"/>
                <w:szCs w:val="20"/>
              </w:rPr>
            </w:pPr>
            <w:r>
              <w:rPr>
                <w:rFonts w:asciiTheme="majorHAnsi" w:hAnsiTheme="majorHAnsi" w:cstheme="majorHAnsi"/>
                <w:sz w:val="20"/>
                <w:szCs w:val="20"/>
              </w:rPr>
              <w:t xml:space="preserve">Set by the </w:t>
            </w:r>
            <w:r w:rsidRPr="001549B0">
              <w:rPr>
                <w:rFonts w:asciiTheme="majorHAnsi" w:hAnsiTheme="majorHAnsi" w:cstheme="majorHAnsi"/>
                <w:sz w:val="20"/>
                <w:szCs w:val="20"/>
              </w:rPr>
              <w:t>State Administrative Tribunal</w:t>
            </w:r>
            <w:r>
              <w:rPr>
                <w:rFonts w:asciiTheme="majorHAnsi" w:hAnsiTheme="majorHAnsi" w:cstheme="majorHAnsi"/>
                <w:sz w:val="20"/>
                <w:szCs w:val="20"/>
              </w:rPr>
              <w:t xml:space="preserve"> on a case-by-case basis. This is a rare occurrence.</w:t>
            </w:r>
          </w:p>
        </w:tc>
        <w:tc>
          <w:tcPr>
            <w:tcW w:w="3776" w:type="dxa"/>
          </w:tcPr>
          <w:p w14:paraId="3D48D0F9" w14:textId="7F64CB98" w:rsidR="00176503" w:rsidRDefault="00042AA4" w:rsidP="00AF32EC">
            <w:pPr>
              <w:rPr>
                <w:rFonts w:asciiTheme="majorHAnsi" w:hAnsiTheme="majorHAnsi" w:cstheme="majorHAnsi"/>
                <w:sz w:val="20"/>
                <w:szCs w:val="20"/>
              </w:rPr>
            </w:pPr>
            <w:r w:rsidRPr="00426915">
              <w:rPr>
                <w:rFonts w:asciiTheme="majorHAnsi" w:hAnsiTheme="majorHAnsi" w:cstheme="majorHAnsi"/>
                <w:sz w:val="20"/>
                <w:szCs w:val="20"/>
              </w:rPr>
              <w:t>Administrators are not usually paid for their work</w:t>
            </w:r>
            <w:r w:rsidR="00D7219F">
              <w:rPr>
                <w:rFonts w:asciiTheme="majorHAnsi" w:hAnsiTheme="majorHAnsi" w:cstheme="majorHAnsi"/>
                <w:sz w:val="20"/>
                <w:szCs w:val="20"/>
              </w:rPr>
              <w:t>,</w:t>
            </w:r>
            <w:r w:rsidRPr="00426915">
              <w:rPr>
                <w:rFonts w:asciiTheme="majorHAnsi" w:hAnsiTheme="majorHAnsi" w:cstheme="majorHAnsi"/>
                <w:sz w:val="20"/>
                <w:szCs w:val="20"/>
              </w:rPr>
              <w:t xml:space="preserve"> nor</w:t>
            </w:r>
            <w:r>
              <w:rPr>
                <w:rFonts w:asciiTheme="majorHAnsi" w:hAnsiTheme="majorHAnsi" w:cstheme="majorHAnsi"/>
                <w:sz w:val="20"/>
                <w:szCs w:val="20"/>
              </w:rPr>
              <w:t xml:space="preserve"> </w:t>
            </w:r>
            <w:r w:rsidRPr="00426915">
              <w:rPr>
                <w:rFonts w:asciiTheme="majorHAnsi" w:hAnsiTheme="majorHAnsi" w:cstheme="majorHAnsi"/>
                <w:sz w:val="20"/>
                <w:szCs w:val="20"/>
              </w:rPr>
              <w:t>reimbursed for lost wages. Generally, they take on the</w:t>
            </w:r>
            <w:r>
              <w:rPr>
                <w:rFonts w:asciiTheme="majorHAnsi" w:hAnsiTheme="majorHAnsi" w:cstheme="majorHAnsi"/>
                <w:sz w:val="20"/>
                <w:szCs w:val="20"/>
              </w:rPr>
              <w:t xml:space="preserve"> </w:t>
            </w:r>
            <w:r w:rsidRPr="00426915">
              <w:rPr>
                <w:rFonts w:asciiTheme="majorHAnsi" w:hAnsiTheme="majorHAnsi" w:cstheme="majorHAnsi"/>
                <w:sz w:val="20"/>
                <w:szCs w:val="20"/>
              </w:rPr>
              <w:t>role out of friendship or a feeling of family responsibility.</w:t>
            </w:r>
          </w:p>
          <w:p w14:paraId="50758CAB" w14:textId="4A14148A" w:rsidR="00042AA4" w:rsidRDefault="00042AA4" w:rsidP="00AF32EC">
            <w:r w:rsidRPr="00426915">
              <w:rPr>
                <w:rFonts w:asciiTheme="majorHAnsi" w:hAnsiTheme="majorHAnsi" w:cstheme="majorHAnsi"/>
                <w:sz w:val="20"/>
                <w:szCs w:val="20"/>
              </w:rPr>
              <w:t>Exceptions are made where the role of administrator</w:t>
            </w:r>
            <w:r>
              <w:rPr>
                <w:rFonts w:asciiTheme="majorHAnsi" w:hAnsiTheme="majorHAnsi" w:cstheme="majorHAnsi"/>
                <w:sz w:val="20"/>
                <w:szCs w:val="20"/>
              </w:rPr>
              <w:t xml:space="preserve"> </w:t>
            </w:r>
            <w:r w:rsidRPr="00426915">
              <w:rPr>
                <w:rFonts w:asciiTheme="majorHAnsi" w:hAnsiTheme="majorHAnsi" w:cstheme="majorHAnsi"/>
                <w:sz w:val="20"/>
                <w:szCs w:val="20"/>
              </w:rPr>
              <w:t>will take an unusually large amount of time or where a</w:t>
            </w:r>
            <w:r>
              <w:rPr>
                <w:rFonts w:asciiTheme="majorHAnsi" w:hAnsiTheme="majorHAnsi" w:cstheme="majorHAnsi"/>
                <w:sz w:val="20"/>
                <w:szCs w:val="20"/>
              </w:rPr>
              <w:t xml:space="preserve"> </w:t>
            </w:r>
            <w:r w:rsidRPr="00426915">
              <w:rPr>
                <w:rFonts w:asciiTheme="majorHAnsi" w:hAnsiTheme="majorHAnsi" w:cstheme="majorHAnsi"/>
                <w:sz w:val="20"/>
                <w:szCs w:val="20"/>
              </w:rPr>
              <w:t>professional is appointed, for example, the represented</w:t>
            </w:r>
            <w:r>
              <w:rPr>
                <w:rFonts w:asciiTheme="majorHAnsi" w:hAnsiTheme="majorHAnsi" w:cstheme="majorHAnsi"/>
                <w:sz w:val="20"/>
                <w:szCs w:val="20"/>
              </w:rPr>
              <w:t xml:space="preserve"> </w:t>
            </w:r>
            <w:r w:rsidRPr="00426915">
              <w:rPr>
                <w:rFonts w:asciiTheme="majorHAnsi" w:hAnsiTheme="majorHAnsi" w:cstheme="majorHAnsi"/>
                <w:sz w:val="20"/>
                <w:szCs w:val="20"/>
              </w:rPr>
              <w:t>person’s solicitor or accountant. Payment is then made at</w:t>
            </w:r>
            <w:r>
              <w:rPr>
                <w:rFonts w:asciiTheme="majorHAnsi" w:hAnsiTheme="majorHAnsi" w:cstheme="majorHAnsi"/>
                <w:sz w:val="20"/>
                <w:szCs w:val="20"/>
              </w:rPr>
              <w:t xml:space="preserve"> </w:t>
            </w:r>
            <w:r w:rsidRPr="00426915">
              <w:rPr>
                <w:rFonts w:asciiTheme="majorHAnsi" w:hAnsiTheme="majorHAnsi" w:cstheme="majorHAnsi"/>
                <w:sz w:val="20"/>
                <w:szCs w:val="20"/>
              </w:rPr>
              <w:t>a rate set by the State Administrative Tribunal.</w:t>
            </w:r>
            <w:r>
              <w:rPr>
                <w:rStyle w:val="EndnoteReference"/>
              </w:rPr>
              <w:t>*</w:t>
            </w:r>
          </w:p>
          <w:p w14:paraId="1A80053C" w14:textId="77777777" w:rsidR="00042AA4" w:rsidRPr="004A79B9" w:rsidRDefault="00042AA4" w:rsidP="00AF32EC">
            <w:pPr>
              <w:rPr>
                <w:rFonts w:asciiTheme="majorHAnsi" w:hAnsiTheme="majorHAnsi" w:cstheme="majorHAnsi"/>
                <w:b/>
                <w:bCs/>
                <w:sz w:val="16"/>
                <w:szCs w:val="16"/>
              </w:rPr>
            </w:pPr>
            <w:r w:rsidRPr="004A79B9">
              <w:rPr>
                <w:b/>
                <w:bCs/>
                <w:sz w:val="16"/>
                <w:szCs w:val="16"/>
              </w:rPr>
              <w:t>*</w:t>
            </w:r>
            <w:r w:rsidRPr="004A79B9">
              <w:rPr>
                <w:rFonts w:asciiTheme="majorHAnsi" w:hAnsiTheme="majorHAnsi" w:cstheme="majorHAnsi"/>
                <w:sz w:val="16"/>
                <w:szCs w:val="16"/>
              </w:rPr>
              <w:t>https://www.wa.gov.au/system/files/2021-05/PTO-private-administrator-guide.pdf</w:t>
            </w:r>
          </w:p>
        </w:tc>
      </w:tr>
      <w:tr w:rsidR="00042AA4" w:rsidRPr="00C5087D" w14:paraId="69D015E6" w14:textId="77777777" w:rsidTr="00AF32EC">
        <w:tc>
          <w:tcPr>
            <w:tcW w:w="1179" w:type="dxa"/>
          </w:tcPr>
          <w:p w14:paraId="39EECC85" w14:textId="77777777" w:rsidR="00042AA4" w:rsidRPr="00C5087D" w:rsidRDefault="00042AA4" w:rsidP="00AF32EC">
            <w:pPr>
              <w:rPr>
                <w:rFonts w:asciiTheme="majorHAnsi" w:hAnsiTheme="majorHAnsi" w:cstheme="majorHAnsi"/>
                <w:sz w:val="20"/>
                <w:szCs w:val="20"/>
              </w:rPr>
            </w:pPr>
            <w:r w:rsidRPr="00C5087D">
              <w:rPr>
                <w:rFonts w:asciiTheme="majorHAnsi" w:hAnsiTheme="majorHAnsi" w:cstheme="majorHAnsi"/>
                <w:sz w:val="20"/>
                <w:szCs w:val="20"/>
              </w:rPr>
              <w:lastRenderedPageBreak/>
              <w:t>Tasmania</w:t>
            </w:r>
          </w:p>
        </w:tc>
        <w:tc>
          <w:tcPr>
            <w:tcW w:w="4628" w:type="dxa"/>
          </w:tcPr>
          <w:p w14:paraId="1928EDAD" w14:textId="77777777" w:rsidR="00042AA4" w:rsidRPr="00C5087D" w:rsidRDefault="00042AA4" w:rsidP="00AF32EC">
            <w:pPr>
              <w:spacing w:before="120"/>
              <w:rPr>
                <w:rStyle w:val="markedcontent"/>
                <w:rFonts w:cstheme="majorHAnsi"/>
                <w:i/>
                <w:iCs/>
                <w:sz w:val="20"/>
                <w:szCs w:val="20"/>
              </w:rPr>
            </w:pPr>
            <w:r w:rsidRPr="00C5087D">
              <w:rPr>
                <w:rStyle w:val="markedcontent"/>
                <w:rFonts w:cstheme="majorHAnsi"/>
                <w:i/>
                <w:iCs/>
                <w:sz w:val="20"/>
                <w:szCs w:val="20"/>
              </w:rPr>
              <w:t>Guardianship and Administration Act 1995</w:t>
            </w:r>
          </w:p>
          <w:p w14:paraId="68E27932" w14:textId="77777777" w:rsidR="007F7F95" w:rsidRDefault="00042AA4" w:rsidP="00AF32EC">
            <w:pPr>
              <w:spacing w:before="120"/>
              <w:rPr>
                <w:rFonts w:asciiTheme="majorHAnsi" w:eastAsia="Times New Roman" w:hAnsiTheme="majorHAnsi" w:cstheme="majorHAnsi"/>
                <w:sz w:val="20"/>
                <w:szCs w:val="20"/>
                <w:lang w:eastAsia="en-AU"/>
              </w:rPr>
            </w:pPr>
            <w:r w:rsidRPr="00C5087D">
              <w:rPr>
                <w:rFonts w:asciiTheme="majorHAnsi" w:eastAsia="Times New Roman" w:hAnsiTheme="majorHAnsi" w:cstheme="majorHAnsi"/>
                <w:sz w:val="20"/>
                <w:szCs w:val="20"/>
                <w:lang w:eastAsia="en-AU"/>
              </w:rPr>
              <w:t xml:space="preserve">Section 55 </w:t>
            </w:r>
            <w:r w:rsidRPr="00C5087D">
              <w:rPr>
                <w:rFonts w:asciiTheme="majorHAnsi" w:hAnsiTheme="majorHAnsi" w:cstheme="majorHAnsi"/>
                <w:sz w:val="20"/>
                <w:szCs w:val="20"/>
              </w:rPr>
              <w:t xml:space="preserve">– </w:t>
            </w:r>
            <w:r w:rsidRPr="00C5087D">
              <w:rPr>
                <w:rFonts w:asciiTheme="majorHAnsi" w:eastAsia="Times New Roman" w:hAnsiTheme="majorHAnsi" w:cstheme="majorHAnsi"/>
                <w:sz w:val="20"/>
                <w:szCs w:val="20"/>
                <w:lang w:eastAsia="en-AU"/>
              </w:rPr>
              <w:t>Remuneration of professional administrators</w:t>
            </w:r>
          </w:p>
          <w:p w14:paraId="4D6A1138" w14:textId="792380C2" w:rsidR="007F7F95" w:rsidRDefault="00042AA4" w:rsidP="007F7F95">
            <w:pPr>
              <w:spacing w:before="120"/>
              <w:ind w:left="271"/>
              <w:rPr>
                <w:rFonts w:asciiTheme="majorHAnsi" w:eastAsia="Times New Roman" w:hAnsiTheme="majorHAnsi" w:cstheme="majorHAnsi"/>
                <w:sz w:val="20"/>
                <w:szCs w:val="20"/>
                <w:lang w:eastAsia="en-AU"/>
              </w:rPr>
            </w:pPr>
            <w:r w:rsidRPr="00C5087D">
              <w:rPr>
                <w:rFonts w:asciiTheme="majorHAnsi" w:eastAsia="Times New Roman" w:hAnsiTheme="majorHAnsi" w:cstheme="majorHAnsi"/>
                <w:sz w:val="20"/>
                <w:szCs w:val="20"/>
                <w:lang w:eastAsia="en-AU"/>
              </w:rPr>
              <w:t>(1) An administrator who carries on a business of, or including, the administration of estates, whether under this Act or otherwise, is, if the Tribunal so determines, entitled to remuneration out of the estate of the represented person for the work involved in administering that estate, whether the work was or is performed before or after the commencement of this section.</w:t>
            </w:r>
          </w:p>
          <w:p w14:paraId="5232B3C7" w14:textId="620F9680" w:rsidR="00042AA4" w:rsidRPr="00C5087D" w:rsidRDefault="00042AA4" w:rsidP="007F7F95">
            <w:pPr>
              <w:spacing w:before="120"/>
              <w:ind w:left="271"/>
              <w:rPr>
                <w:rFonts w:asciiTheme="majorHAnsi" w:eastAsia="Times New Roman" w:hAnsiTheme="majorHAnsi" w:cstheme="majorHAnsi"/>
                <w:sz w:val="20"/>
                <w:szCs w:val="20"/>
                <w:lang w:eastAsia="en-AU"/>
              </w:rPr>
            </w:pPr>
            <w:r w:rsidRPr="00C5087D">
              <w:rPr>
                <w:rFonts w:asciiTheme="majorHAnsi" w:eastAsia="Times New Roman" w:hAnsiTheme="majorHAnsi" w:cstheme="majorHAnsi"/>
                <w:sz w:val="20"/>
                <w:szCs w:val="20"/>
                <w:lang w:eastAsia="en-AU"/>
              </w:rPr>
              <w:t>(2) This section does not affect the right of The Public Trustee or a trustee company to recover charges and expenses under any other law.</w:t>
            </w:r>
          </w:p>
          <w:p w14:paraId="7E27C064" w14:textId="77777777" w:rsidR="00042AA4" w:rsidRPr="00C5087D" w:rsidRDefault="00042AA4" w:rsidP="00AF32EC">
            <w:pPr>
              <w:rPr>
                <w:rFonts w:asciiTheme="majorHAnsi" w:hAnsiTheme="majorHAnsi" w:cstheme="majorHAnsi"/>
                <w:b/>
                <w:bCs/>
                <w:sz w:val="20"/>
                <w:szCs w:val="20"/>
              </w:rPr>
            </w:pPr>
          </w:p>
        </w:tc>
        <w:tc>
          <w:tcPr>
            <w:tcW w:w="4365" w:type="dxa"/>
          </w:tcPr>
          <w:p w14:paraId="560CBA22" w14:textId="77777777" w:rsidR="00042AA4" w:rsidRPr="00BC0436" w:rsidRDefault="00042AA4" w:rsidP="00AF32EC">
            <w:pPr>
              <w:rPr>
                <w:rFonts w:asciiTheme="majorHAnsi" w:hAnsiTheme="majorHAnsi" w:cstheme="majorHAnsi"/>
                <w:sz w:val="20"/>
                <w:szCs w:val="20"/>
              </w:rPr>
            </w:pPr>
            <w:r w:rsidRPr="00BC0436">
              <w:rPr>
                <w:rFonts w:asciiTheme="majorHAnsi" w:hAnsiTheme="majorHAnsi" w:cstheme="majorHAnsi"/>
                <w:sz w:val="20"/>
                <w:szCs w:val="20"/>
              </w:rPr>
              <w:t>In practice, professional administration is undertaken by the Public Trustee or TPT Wealth (formerly Tasmanian Perpetual Trustees).</w:t>
            </w:r>
          </w:p>
          <w:p w14:paraId="55B29F06" w14:textId="77777777" w:rsidR="00042AA4" w:rsidRPr="00BC0436" w:rsidRDefault="00042AA4" w:rsidP="00AF32EC">
            <w:pPr>
              <w:rPr>
                <w:rFonts w:asciiTheme="majorHAnsi" w:hAnsiTheme="majorHAnsi" w:cstheme="majorHAnsi"/>
                <w:sz w:val="20"/>
                <w:szCs w:val="20"/>
              </w:rPr>
            </w:pPr>
            <w:r w:rsidRPr="00BC0436">
              <w:rPr>
                <w:rFonts w:asciiTheme="majorHAnsi" w:hAnsiTheme="majorHAnsi" w:cstheme="majorHAnsi"/>
                <w:sz w:val="20"/>
                <w:szCs w:val="20"/>
              </w:rPr>
              <w:t xml:space="preserve">From 1 January 2016, if the Guardianship and Administration Board appoints the Public Trustee as a Financial Administrator, the following fees are charged: </w:t>
            </w:r>
          </w:p>
          <w:p w14:paraId="408B8DA9" w14:textId="77777777" w:rsidR="00042AA4" w:rsidRPr="00BC0436" w:rsidRDefault="00042AA4" w:rsidP="00AF32EC">
            <w:pPr>
              <w:rPr>
                <w:rFonts w:asciiTheme="majorHAnsi" w:hAnsiTheme="majorHAnsi" w:cstheme="majorHAnsi"/>
                <w:sz w:val="20"/>
                <w:szCs w:val="20"/>
              </w:rPr>
            </w:pPr>
            <w:r w:rsidRPr="00BC0436">
              <w:rPr>
                <w:rFonts w:asciiTheme="majorHAnsi" w:hAnsiTheme="majorHAnsi" w:cstheme="majorHAnsi"/>
                <w:sz w:val="20"/>
                <w:szCs w:val="20"/>
              </w:rPr>
              <w:t xml:space="preserve">For clients with assets under $10,000 – no capital commission, no monthly account fees; and no income commissions. </w:t>
            </w:r>
          </w:p>
          <w:p w14:paraId="44C65620" w14:textId="0FDF507D" w:rsidR="00042AA4" w:rsidRPr="00BC0436" w:rsidRDefault="00042AA4" w:rsidP="00AF32EC">
            <w:pPr>
              <w:rPr>
                <w:rFonts w:asciiTheme="majorHAnsi" w:hAnsiTheme="majorHAnsi" w:cstheme="majorHAnsi"/>
                <w:sz w:val="20"/>
                <w:szCs w:val="20"/>
              </w:rPr>
            </w:pPr>
            <w:r w:rsidRPr="00BC0436">
              <w:rPr>
                <w:rFonts w:asciiTheme="majorHAnsi" w:hAnsiTheme="majorHAnsi" w:cstheme="majorHAnsi"/>
                <w:sz w:val="20"/>
                <w:szCs w:val="20"/>
              </w:rPr>
              <w:t xml:space="preserve">For clients with assets between $10,000 and under $100,000 – no capital commission, no monthly account fees; and a reduced fee of 2.75 % is charged on the receipt of all income such as interest, dividends and pensions. </w:t>
            </w:r>
          </w:p>
          <w:p w14:paraId="07E2D947" w14:textId="77777777" w:rsidR="00042AA4" w:rsidRPr="00BC0436" w:rsidRDefault="00042AA4" w:rsidP="00AF32EC">
            <w:pPr>
              <w:rPr>
                <w:rFonts w:asciiTheme="majorHAnsi" w:hAnsiTheme="majorHAnsi" w:cstheme="majorHAnsi"/>
                <w:sz w:val="20"/>
                <w:szCs w:val="20"/>
              </w:rPr>
            </w:pPr>
            <w:r w:rsidRPr="00BC0436">
              <w:rPr>
                <w:rFonts w:asciiTheme="majorHAnsi" w:hAnsiTheme="majorHAnsi" w:cstheme="majorHAnsi"/>
                <w:sz w:val="20"/>
                <w:szCs w:val="20"/>
              </w:rPr>
              <w:t xml:space="preserve">For clients with assets over $100,000 – $601.00 one-off establishment fee; when the administration ends, a commission of 2.2% is taken on the current value of the assets which have not been realised during the administration. </w:t>
            </w:r>
          </w:p>
          <w:p w14:paraId="24B62F7E" w14:textId="30617208" w:rsidR="00042AA4" w:rsidRPr="00BC0436" w:rsidRDefault="00042AA4" w:rsidP="00AF32EC">
            <w:pPr>
              <w:rPr>
                <w:rFonts w:asciiTheme="majorHAnsi" w:hAnsiTheme="majorHAnsi" w:cstheme="majorHAnsi"/>
                <w:sz w:val="20"/>
                <w:szCs w:val="20"/>
              </w:rPr>
            </w:pPr>
            <w:r w:rsidRPr="00BC0436">
              <w:rPr>
                <w:rFonts w:asciiTheme="majorHAnsi" w:hAnsiTheme="majorHAnsi" w:cstheme="majorHAnsi"/>
                <w:sz w:val="20"/>
                <w:szCs w:val="20"/>
              </w:rPr>
              <w:t xml:space="preserve">On the first $200,000 or part 4.5%; </w:t>
            </w:r>
            <w:r w:rsidR="00681A85" w:rsidRPr="00BC0436">
              <w:rPr>
                <w:rFonts w:asciiTheme="majorHAnsi" w:hAnsiTheme="majorHAnsi" w:cstheme="majorHAnsi"/>
                <w:sz w:val="20"/>
                <w:szCs w:val="20"/>
              </w:rPr>
              <w:t>on</w:t>
            </w:r>
            <w:r w:rsidRPr="00BC0436">
              <w:rPr>
                <w:rFonts w:asciiTheme="majorHAnsi" w:hAnsiTheme="majorHAnsi" w:cstheme="majorHAnsi"/>
                <w:sz w:val="20"/>
                <w:szCs w:val="20"/>
              </w:rPr>
              <w:t xml:space="preserve"> the next $200,000 or part 3.5%; on the next $200,000 or part 2.5%; and on amounts above $600,000 1.5%. A fee of $65.00 for completing the annual report required by the Guardianship and Administration Board is required, along with a fee of $150.00 for </w:t>
            </w:r>
            <w:r w:rsidRPr="00BC0436">
              <w:rPr>
                <w:rFonts w:asciiTheme="majorHAnsi" w:hAnsiTheme="majorHAnsi" w:cstheme="majorHAnsi"/>
                <w:sz w:val="20"/>
                <w:szCs w:val="20"/>
              </w:rPr>
              <w:lastRenderedPageBreak/>
              <w:t>completing the 3 yearly review and report required by the Guardianship and Administration Board.</w:t>
            </w:r>
          </w:p>
          <w:p w14:paraId="7C48BF2D" w14:textId="77777777" w:rsidR="00042AA4" w:rsidRPr="00BC0436" w:rsidRDefault="00042AA4" w:rsidP="00AF32EC">
            <w:pPr>
              <w:rPr>
                <w:rFonts w:asciiTheme="majorHAnsi" w:hAnsiTheme="majorHAnsi" w:cstheme="majorHAnsi"/>
                <w:sz w:val="20"/>
                <w:szCs w:val="20"/>
              </w:rPr>
            </w:pPr>
            <w:r w:rsidRPr="00BC0436">
              <w:rPr>
                <w:rFonts w:asciiTheme="majorHAnsi" w:hAnsiTheme="majorHAnsi" w:cstheme="majorHAnsi"/>
                <w:sz w:val="20"/>
                <w:szCs w:val="20"/>
              </w:rPr>
              <w:t>Legal services provided by legal practitioners are charged at a rate determined by the Public Trustee but not exceeding the maximum hourly attendance rate set out in the Supreme Court Rules 2000.</w:t>
            </w:r>
          </w:p>
          <w:p w14:paraId="270279AB" w14:textId="77777777" w:rsidR="00042AA4" w:rsidRPr="001F326D" w:rsidRDefault="00042AA4" w:rsidP="00AF32EC">
            <w:pPr>
              <w:rPr>
                <w:rFonts w:asciiTheme="majorHAnsi" w:hAnsiTheme="majorHAnsi" w:cstheme="majorHAnsi"/>
                <w:sz w:val="20"/>
                <w:szCs w:val="20"/>
              </w:rPr>
            </w:pPr>
            <w:r w:rsidRPr="001F326D">
              <w:rPr>
                <w:rFonts w:asciiTheme="majorHAnsi" w:hAnsiTheme="majorHAnsi" w:cstheme="majorHAnsi"/>
                <w:sz w:val="20"/>
                <w:szCs w:val="20"/>
              </w:rPr>
              <w:t>Administrator fees charged by TPT Wealth are as follows:</w:t>
            </w:r>
          </w:p>
          <w:p w14:paraId="250262E6" w14:textId="77777777" w:rsidR="00042AA4" w:rsidRPr="001F326D" w:rsidRDefault="00042AA4" w:rsidP="00AF32EC">
            <w:pPr>
              <w:rPr>
                <w:rFonts w:asciiTheme="majorHAnsi" w:hAnsiTheme="majorHAnsi" w:cstheme="majorHAnsi"/>
                <w:sz w:val="20"/>
                <w:szCs w:val="20"/>
              </w:rPr>
            </w:pPr>
            <w:r w:rsidRPr="001F326D">
              <w:rPr>
                <w:rFonts w:asciiTheme="majorHAnsi" w:hAnsiTheme="majorHAnsi" w:cstheme="majorHAnsi"/>
                <w:sz w:val="20"/>
                <w:szCs w:val="20"/>
              </w:rPr>
              <w:t>$0 - $100,000 Minimum fee of $9,000 applies</w:t>
            </w:r>
          </w:p>
          <w:p w14:paraId="6798D9DC" w14:textId="77777777" w:rsidR="00042AA4" w:rsidRPr="001F326D" w:rsidRDefault="00042AA4" w:rsidP="00AF32EC">
            <w:pPr>
              <w:rPr>
                <w:rFonts w:asciiTheme="majorHAnsi" w:hAnsiTheme="majorHAnsi" w:cstheme="majorHAnsi"/>
                <w:sz w:val="20"/>
                <w:szCs w:val="20"/>
              </w:rPr>
            </w:pPr>
            <w:r w:rsidRPr="001F326D">
              <w:rPr>
                <w:rFonts w:asciiTheme="majorHAnsi" w:hAnsiTheme="majorHAnsi" w:cstheme="majorHAnsi"/>
                <w:sz w:val="20"/>
                <w:szCs w:val="20"/>
              </w:rPr>
              <w:t xml:space="preserve">$100,001 - $400,000 5.50% </w:t>
            </w:r>
          </w:p>
          <w:p w14:paraId="6DEAB19F" w14:textId="77777777" w:rsidR="00042AA4" w:rsidRPr="001F326D" w:rsidRDefault="00042AA4" w:rsidP="00AF32EC">
            <w:pPr>
              <w:rPr>
                <w:rFonts w:asciiTheme="majorHAnsi" w:hAnsiTheme="majorHAnsi" w:cstheme="majorHAnsi"/>
                <w:sz w:val="20"/>
                <w:szCs w:val="20"/>
              </w:rPr>
            </w:pPr>
            <w:r w:rsidRPr="001F326D">
              <w:rPr>
                <w:rFonts w:asciiTheme="majorHAnsi" w:hAnsiTheme="majorHAnsi" w:cstheme="majorHAnsi"/>
                <w:sz w:val="20"/>
                <w:szCs w:val="20"/>
              </w:rPr>
              <w:t xml:space="preserve">$400,001 - $750,000 4.40% </w:t>
            </w:r>
          </w:p>
          <w:p w14:paraId="5FAD25C2" w14:textId="77777777" w:rsidR="00042AA4" w:rsidRPr="001F326D" w:rsidRDefault="00042AA4" w:rsidP="00AF32EC">
            <w:pPr>
              <w:rPr>
                <w:rFonts w:asciiTheme="majorHAnsi" w:hAnsiTheme="majorHAnsi" w:cstheme="majorHAnsi"/>
                <w:sz w:val="20"/>
                <w:szCs w:val="20"/>
              </w:rPr>
            </w:pPr>
            <w:r w:rsidRPr="001F326D">
              <w:rPr>
                <w:rFonts w:asciiTheme="majorHAnsi" w:hAnsiTheme="majorHAnsi" w:cstheme="majorHAnsi"/>
                <w:sz w:val="20"/>
                <w:szCs w:val="20"/>
              </w:rPr>
              <w:t xml:space="preserve">$750,001 - $1,000,000 3.30% </w:t>
            </w:r>
          </w:p>
          <w:p w14:paraId="108E6D34" w14:textId="77777777" w:rsidR="00042AA4" w:rsidRPr="001F326D" w:rsidRDefault="00042AA4" w:rsidP="00AF32EC">
            <w:pPr>
              <w:rPr>
                <w:rFonts w:asciiTheme="majorHAnsi" w:hAnsiTheme="majorHAnsi" w:cstheme="majorHAnsi"/>
                <w:sz w:val="20"/>
                <w:szCs w:val="20"/>
              </w:rPr>
            </w:pPr>
            <w:r w:rsidRPr="001F326D">
              <w:rPr>
                <w:rFonts w:asciiTheme="majorHAnsi" w:hAnsiTheme="majorHAnsi" w:cstheme="majorHAnsi"/>
                <w:sz w:val="20"/>
                <w:szCs w:val="20"/>
              </w:rPr>
              <w:t xml:space="preserve">$1,000,001 - $2,000,000 2.20% </w:t>
            </w:r>
          </w:p>
          <w:p w14:paraId="430022AE" w14:textId="77777777" w:rsidR="00042AA4" w:rsidRPr="00BC0436" w:rsidRDefault="00042AA4" w:rsidP="00AF32EC">
            <w:pPr>
              <w:rPr>
                <w:rFonts w:asciiTheme="majorHAnsi" w:hAnsiTheme="majorHAnsi" w:cstheme="majorHAnsi"/>
                <w:sz w:val="20"/>
                <w:szCs w:val="20"/>
              </w:rPr>
            </w:pPr>
            <w:r w:rsidRPr="001F326D">
              <w:rPr>
                <w:rFonts w:asciiTheme="majorHAnsi" w:hAnsiTheme="majorHAnsi" w:cstheme="majorHAnsi"/>
                <w:sz w:val="20"/>
                <w:szCs w:val="20"/>
              </w:rPr>
              <w:t>Above $2,000,001 1.10%</w:t>
            </w:r>
          </w:p>
        </w:tc>
        <w:tc>
          <w:tcPr>
            <w:tcW w:w="3776" w:type="dxa"/>
          </w:tcPr>
          <w:p w14:paraId="773F4F4A" w14:textId="77777777" w:rsidR="00042AA4" w:rsidRPr="003A673A" w:rsidRDefault="00042AA4" w:rsidP="00AF32EC">
            <w:pPr>
              <w:rPr>
                <w:rFonts w:asciiTheme="majorHAnsi" w:hAnsiTheme="majorHAnsi"/>
              </w:rPr>
            </w:pPr>
            <w:r w:rsidRPr="003A673A">
              <w:rPr>
                <w:rFonts w:asciiTheme="majorHAnsi" w:hAnsiTheme="majorHAnsi"/>
              </w:rPr>
              <w:lastRenderedPageBreak/>
              <w:t>If an Administrator is a person normally engaged in the business of administering estates (e.g., a commercial solicitor or a professional estate planner), they may be paid for their time, pursuant to section 55 of the Act. This occurs only very rarely*, but the Administrator can contact the Tribunal should they have any enquiries about applying for remuneration. Otherwise, an Administrator is a voluntary role.</w:t>
            </w:r>
            <w:r w:rsidRPr="00D7219F">
              <w:rPr>
                <w:vertAlign w:val="superscript"/>
              </w:rPr>
              <w:footnoteReference w:id="26"/>
            </w:r>
          </w:p>
          <w:p w14:paraId="53EC6F0E" w14:textId="77777777" w:rsidR="00042AA4" w:rsidRPr="004A79B9" w:rsidRDefault="00042AA4" w:rsidP="00AF32EC">
            <w:pPr>
              <w:rPr>
                <w:rStyle w:val="markedcontent"/>
                <w:sz w:val="16"/>
                <w:szCs w:val="16"/>
              </w:rPr>
            </w:pPr>
            <w:r w:rsidRPr="004A79B9">
              <w:rPr>
                <w:rStyle w:val="markedcontent"/>
                <w:sz w:val="16"/>
                <w:szCs w:val="16"/>
              </w:rPr>
              <w:t>*Less than one per year – on a case by case basis (in the most recent case $600 per annum)</w:t>
            </w:r>
          </w:p>
          <w:p w14:paraId="306D3D29" w14:textId="77777777" w:rsidR="00042AA4" w:rsidRPr="00C5087D" w:rsidRDefault="00042AA4" w:rsidP="00AF32EC">
            <w:pPr>
              <w:rPr>
                <w:rFonts w:asciiTheme="majorHAnsi" w:hAnsiTheme="majorHAnsi" w:cstheme="majorHAnsi"/>
                <w:b/>
                <w:bCs/>
                <w:sz w:val="20"/>
                <w:szCs w:val="20"/>
              </w:rPr>
            </w:pPr>
          </w:p>
        </w:tc>
      </w:tr>
    </w:tbl>
    <w:p w14:paraId="76E42908" w14:textId="77777777" w:rsidR="00042AA4" w:rsidRDefault="00042AA4" w:rsidP="00C916D1">
      <w:pPr>
        <w:rPr>
          <w:lang w:eastAsia="ja-JP"/>
        </w:rPr>
        <w:sectPr w:rsidR="00042AA4" w:rsidSect="00EA1AF7">
          <w:pgSz w:w="16840" w:h="11900" w:orient="landscape"/>
          <w:pgMar w:top="1440" w:right="1440" w:bottom="1440" w:left="1440" w:header="708" w:footer="708" w:gutter="0"/>
          <w:cols w:space="708"/>
          <w:docGrid w:linePitch="360"/>
        </w:sectPr>
      </w:pPr>
    </w:p>
    <w:p w14:paraId="17400564" w14:textId="61228460" w:rsidR="00661949" w:rsidRPr="00EA1AF7" w:rsidRDefault="00661949" w:rsidP="00976E63">
      <w:pPr>
        <w:rPr>
          <w:highlight w:val="yellow"/>
          <w:lang w:eastAsia="ja-JP"/>
        </w:rPr>
      </w:pPr>
    </w:p>
    <w:sectPr w:rsidR="00661949" w:rsidRPr="00EA1AF7" w:rsidSect="00042AA4">
      <w:footerReference w:type="default" r:id="rId18"/>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DA114" w14:textId="77777777" w:rsidR="00FB3435" w:rsidRDefault="00FB3435" w:rsidP="00996FA1">
      <w:pPr>
        <w:spacing w:after="0"/>
      </w:pPr>
      <w:r>
        <w:separator/>
      </w:r>
    </w:p>
  </w:endnote>
  <w:endnote w:type="continuationSeparator" w:id="0">
    <w:p w14:paraId="5C68BE4F" w14:textId="77777777" w:rsidR="00FB3435" w:rsidRDefault="00FB3435" w:rsidP="00996FA1">
      <w:pPr>
        <w:spacing w:after="0"/>
      </w:pPr>
      <w:r>
        <w:continuationSeparator/>
      </w:r>
    </w:p>
  </w:endnote>
  <w:endnote w:type="continuationNotice" w:id="1">
    <w:p w14:paraId="42C23209" w14:textId="77777777" w:rsidR="00FB3435" w:rsidRDefault="00FB34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Body CS)">
    <w:altName w:val="Times New Roman"/>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9E13" w14:textId="77777777" w:rsidR="00214347" w:rsidRDefault="00214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053963"/>
      <w:docPartObj>
        <w:docPartGallery w:val="Page Numbers (Bottom of Page)"/>
        <w:docPartUnique/>
      </w:docPartObj>
    </w:sdtPr>
    <w:sdtEndPr>
      <w:rPr>
        <w:noProof/>
      </w:rPr>
    </w:sdtEndPr>
    <w:sdtContent>
      <w:p w14:paraId="24E971DB" w14:textId="225A5FEA" w:rsidR="00954187" w:rsidRDefault="009541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EE2610" w14:textId="77777777" w:rsidR="00954187" w:rsidRDefault="009541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BD15" w14:textId="77777777" w:rsidR="00214347" w:rsidRDefault="002143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5888" w14:textId="5B948996" w:rsidR="0049171F" w:rsidRDefault="0049171F">
    <w:pPr>
      <w:pStyle w:val="Footer"/>
      <w:jc w:val="right"/>
    </w:pPr>
  </w:p>
  <w:p w14:paraId="0BE03D84" w14:textId="77777777" w:rsidR="0049171F" w:rsidRDefault="00491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7AA27" w14:textId="77777777" w:rsidR="00FB3435" w:rsidRDefault="00FB3435" w:rsidP="00996FA1">
      <w:pPr>
        <w:spacing w:after="0"/>
      </w:pPr>
      <w:r>
        <w:separator/>
      </w:r>
    </w:p>
  </w:footnote>
  <w:footnote w:type="continuationSeparator" w:id="0">
    <w:p w14:paraId="6C4FC7F9" w14:textId="77777777" w:rsidR="00FB3435" w:rsidRDefault="00FB3435" w:rsidP="00996FA1">
      <w:pPr>
        <w:spacing w:after="0"/>
      </w:pPr>
      <w:r>
        <w:continuationSeparator/>
      </w:r>
    </w:p>
  </w:footnote>
  <w:footnote w:type="continuationNotice" w:id="1">
    <w:p w14:paraId="5C9982A0" w14:textId="77777777" w:rsidR="00FB3435" w:rsidRDefault="00FB3435">
      <w:pPr>
        <w:spacing w:after="0" w:line="240" w:lineRule="auto"/>
      </w:pPr>
    </w:p>
  </w:footnote>
  <w:footnote w:id="2">
    <w:p w14:paraId="1315AA7F" w14:textId="303D9DBC" w:rsidR="00F53C51" w:rsidRPr="00EA1AF7" w:rsidRDefault="0035225D" w:rsidP="00575012">
      <w:pPr>
        <w:pStyle w:val="FootnoteText"/>
        <w:spacing w:after="0"/>
        <w:rPr>
          <w:i/>
          <w:iCs/>
        </w:rPr>
      </w:pPr>
      <w:r>
        <w:rPr>
          <w:rStyle w:val="FootnoteReference"/>
        </w:rPr>
        <w:footnoteRef/>
      </w:r>
      <w:r>
        <w:t xml:space="preserve"> State Trustees Ltd is a Victorian Government-owned </w:t>
      </w:r>
      <w:r w:rsidR="00F53C51">
        <w:t xml:space="preserve">company established via the </w:t>
      </w:r>
      <w:r w:rsidR="00F53C51" w:rsidRPr="00EA1AF7">
        <w:rPr>
          <w:i/>
          <w:iCs/>
        </w:rPr>
        <w:t>State Trustees (State Owned Company)</w:t>
      </w:r>
    </w:p>
    <w:p w14:paraId="48C1A852" w14:textId="5FB61A14" w:rsidR="0035225D" w:rsidRDefault="00F53C51" w:rsidP="00575012">
      <w:pPr>
        <w:pStyle w:val="FootnoteText"/>
        <w:spacing w:after="0"/>
      </w:pPr>
      <w:r w:rsidRPr="00EA1AF7">
        <w:rPr>
          <w:i/>
          <w:iCs/>
        </w:rPr>
        <w:t>Act 1994</w:t>
      </w:r>
      <w:r>
        <w:t>.</w:t>
      </w:r>
      <w:r w:rsidR="002C7E0B">
        <w:t xml:space="preserve"> It has legislative functions and duties to represent people in certain situations.</w:t>
      </w:r>
    </w:p>
  </w:footnote>
  <w:footnote w:id="3">
    <w:p w14:paraId="2D738475" w14:textId="0E8EE96C" w:rsidR="00AC551A" w:rsidRDefault="00AC551A" w:rsidP="00EA1AF7">
      <w:pPr>
        <w:spacing w:after="60"/>
      </w:pPr>
      <w:r>
        <w:rPr>
          <w:rStyle w:val="FootnoteReference"/>
        </w:rPr>
        <w:footnoteRef/>
      </w:r>
      <w:r>
        <w:t xml:space="preserve"> </w:t>
      </w:r>
      <w:r w:rsidRPr="00AC551A">
        <w:rPr>
          <w:rStyle w:val="markedcontent"/>
          <w:rFonts w:cstheme="minorHAnsi"/>
          <w:sz w:val="18"/>
          <w:szCs w:val="18"/>
        </w:rPr>
        <w:t xml:space="preserve">Australian Adult Guardianship Orders 2020/21, Report on adult guardianship and administration/financial management applications and new orders 1 July 2020 – 30 June 2021, </w:t>
      </w:r>
      <w:r w:rsidRPr="00AC551A">
        <w:rPr>
          <w:rFonts w:cstheme="minorHAnsi"/>
          <w:sz w:val="18"/>
          <w:szCs w:val="18"/>
        </w:rPr>
        <w:t>https://www.agac.org.au/assets/images/Annual-Report-on-Adult-Guardianship-Orders-2020-2021_2022-03-14-014828.pdf</w:t>
      </w:r>
    </w:p>
  </w:footnote>
  <w:footnote w:id="4">
    <w:p w14:paraId="4B3F460B" w14:textId="1CFCEFF2" w:rsidR="0073095C" w:rsidRPr="0073095C" w:rsidRDefault="0073095C" w:rsidP="0075384B">
      <w:pPr>
        <w:pStyle w:val="FootnoteText"/>
      </w:pPr>
      <w:r>
        <w:rPr>
          <w:rStyle w:val="FootnoteReference"/>
        </w:rPr>
        <w:footnoteRef/>
      </w:r>
      <w:r>
        <w:t xml:space="preserve"> See section 47A of the </w:t>
      </w:r>
      <w:r w:rsidRPr="00EA1AF7">
        <w:rPr>
          <w:i/>
        </w:rPr>
        <w:t>Guardianship and Administration Act 1986</w:t>
      </w:r>
      <w:r>
        <w:t>.</w:t>
      </w:r>
      <w:r w:rsidR="00E64CEC">
        <w:t xml:space="preserve"> The rationale for the change under the new GAA was not </w:t>
      </w:r>
      <w:r w:rsidR="00962F99">
        <w:t>discussed during the parliamentary debate on the Bill.</w:t>
      </w:r>
    </w:p>
  </w:footnote>
  <w:footnote w:id="5">
    <w:p w14:paraId="5A8A25C4" w14:textId="77777777" w:rsidR="00507BE1" w:rsidRPr="0094758F" w:rsidRDefault="00507BE1" w:rsidP="0075384B">
      <w:pPr>
        <w:pStyle w:val="FootnoteText"/>
      </w:pPr>
      <w:r w:rsidRPr="0094758F">
        <w:rPr>
          <w:rStyle w:val="FootnoteReference"/>
        </w:rPr>
        <w:footnoteRef/>
      </w:r>
      <w:r w:rsidRPr="0094758F">
        <w:t xml:space="preserve"> See also VCAT Act, section 157(3).</w:t>
      </w:r>
    </w:p>
  </w:footnote>
  <w:footnote w:id="6">
    <w:p w14:paraId="71CF6B03" w14:textId="77777777" w:rsidR="00076E30" w:rsidRPr="0094758F" w:rsidRDefault="00076E30" w:rsidP="0075384B">
      <w:pPr>
        <w:pStyle w:val="FootnoteText"/>
      </w:pPr>
      <w:r w:rsidRPr="0094758F">
        <w:rPr>
          <w:rStyle w:val="FootnoteReference"/>
        </w:rPr>
        <w:footnoteRef/>
      </w:r>
      <w:r w:rsidRPr="0094758F">
        <w:t xml:space="preserve"> SLA, section 8(1)(b). The exemption certificate needs to be signed by the Attorney-General.</w:t>
      </w:r>
    </w:p>
  </w:footnote>
  <w:footnote w:id="7">
    <w:p w14:paraId="036B6EF7" w14:textId="77777777" w:rsidR="00BE53FE" w:rsidRDefault="00BE53FE" w:rsidP="00BE53FE">
      <w:pPr>
        <w:pStyle w:val="FootnoteText"/>
      </w:pPr>
      <w:r>
        <w:rPr>
          <w:rStyle w:val="FootnoteReference"/>
        </w:rPr>
        <w:footnoteRef/>
      </w:r>
      <w:r>
        <w:t xml:space="preserve"> </w:t>
      </w:r>
      <w:r w:rsidRPr="0094758F">
        <w:t xml:space="preserve">Chapter 5D of the Corporations Act </w:t>
      </w:r>
      <w:r>
        <w:t>regulates what</w:t>
      </w:r>
      <w:r w:rsidRPr="0094758F">
        <w:t xml:space="preserve"> fees may be charged by a licensed trustee company.</w:t>
      </w:r>
    </w:p>
  </w:footnote>
  <w:footnote w:id="8">
    <w:p w14:paraId="4B8CB812" w14:textId="77777777" w:rsidR="00BE53FE" w:rsidRPr="0094758F" w:rsidRDefault="00BE53FE" w:rsidP="00BE53FE">
      <w:pPr>
        <w:pStyle w:val="FootnoteText"/>
      </w:pPr>
      <w:r w:rsidRPr="0094758F">
        <w:rPr>
          <w:rStyle w:val="FootnoteReference"/>
        </w:rPr>
        <w:footnoteRef/>
      </w:r>
      <w:r w:rsidRPr="0094758F">
        <w:t xml:space="preserve"> </w:t>
      </w:r>
      <w:hyperlink r:id="rId1" w:history="1">
        <w:r w:rsidRPr="0094758F">
          <w:rPr>
            <w:rStyle w:val="Hyperlink"/>
            <w:rFonts w:asciiTheme="minorHAnsi" w:hAnsiTheme="minorHAnsi"/>
            <w:color w:val="auto"/>
          </w:rPr>
          <w:t>https://lsbc.vic.gov.au/resources/practitioner-remuneration-order-2022</w:t>
        </w:r>
      </w:hyperlink>
      <w:r w:rsidRPr="0094758F">
        <w:t xml:space="preserve"> </w:t>
      </w:r>
    </w:p>
  </w:footnote>
  <w:footnote w:id="9">
    <w:p w14:paraId="405A7DBE" w14:textId="77777777" w:rsidR="00C57666" w:rsidRDefault="00C57666" w:rsidP="00C57666">
      <w:pPr>
        <w:pStyle w:val="FootnoteText"/>
      </w:pPr>
      <w:r>
        <w:rPr>
          <w:rStyle w:val="FootnoteReference"/>
        </w:rPr>
        <w:footnoteRef/>
      </w:r>
      <w:r>
        <w:t xml:space="preserve"> </w:t>
      </w:r>
      <w:r w:rsidRPr="00776057">
        <w:t xml:space="preserve">Note: the PRO does not apply to </w:t>
      </w:r>
      <w:r>
        <w:t>litigation</w:t>
      </w:r>
      <w:r w:rsidRPr="00776057">
        <w:t xml:space="preserve"> matters. Under the GAA, an administrator may only bring or defend an action or other legal proceeding if the VCAT order grants such a power (s 51). In such circumstances, a court or tribunal may order that a person who is or was an administrator be reimbursed from the represented person's estate for any costs incurred by the person as an administrator in bringing or defending an action or other legal proceeding. Therefore, the proposed scale of remuneration does not need to deal with</w:t>
      </w:r>
      <w:r>
        <w:t xml:space="preserve"> payments associated with litigation.</w:t>
      </w:r>
    </w:p>
  </w:footnote>
  <w:footnote w:id="10">
    <w:p w14:paraId="6145F97C" w14:textId="29938A67" w:rsidR="00C57666" w:rsidRDefault="00C57666">
      <w:pPr>
        <w:pStyle w:val="FootnoteText"/>
      </w:pPr>
      <w:r>
        <w:rPr>
          <w:rStyle w:val="FootnoteReference"/>
        </w:rPr>
        <w:footnoteRef/>
      </w:r>
      <w:r>
        <w:t xml:space="preserve"> Case files were de-identified and redacted where appropriate.</w:t>
      </w:r>
    </w:p>
  </w:footnote>
  <w:footnote w:id="11">
    <w:p w14:paraId="0484B831" w14:textId="25666721" w:rsidR="00FB1FC9" w:rsidRDefault="00FB1FC9">
      <w:pPr>
        <w:pStyle w:val="FootnoteText"/>
      </w:pPr>
      <w:r>
        <w:rPr>
          <w:rStyle w:val="FootnoteReference"/>
        </w:rPr>
        <w:footnoteRef/>
      </w:r>
      <w:r>
        <w:t xml:space="preserve">  Department of Treasury and Finance, 2021, </w:t>
      </w:r>
      <w:r w:rsidRPr="00FB1FC9">
        <w:rPr>
          <w:i/>
          <w:iCs/>
        </w:rPr>
        <w:t xml:space="preserve">Pricing for </w:t>
      </w:r>
      <w:r>
        <w:rPr>
          <w:i/>
          <w:iCs/>
        </w:rPr>
        <w:t>V</w:t>
      </w:r>
      <w:r w:rsidRPr="00FB1FC9">
        <w:rPr>
          <w:i/>
          <w:iCs/>
        </w:rPr>
        <w:t>alue:  A guide for government services - Pricing playbook</w:t>
      </w:r>
      <w:r>
        <w:t xml:space="preserve"> </w:t>
      </w:r>
      <w:r w:rsidR="00670918">
        <w:t>– Supplementary Material</w:t>
      </w:r>
      <w:r>
        <w:t>, no pagination</w:t>
      </w:r>
    </w:p>
  </w:footnote>
  <w:footnote w:id="12">
    <w:p w14:paraId="492CCF2E" w14:textId="07166BC3" w:rsidR="00524D85" w:rsidRPr="00524D85" w:rsidRDefault="00524D85" w:rsidP="0075384B">
      <w:pPr>
        <w:pStyle w:val="FootnoteText"/>
      </w:pPr>
      <w:r w:rsidRPr="00524D85">
        <w:rPr>
          <w:rStyle w:val="FootnoteReference"/>
          <w:rFonts w:asciiTheme="minorHAnsi" w:hAnsiTheme="minorHAnsi"/>
        </w:rPr>
        <w:footnoteRef/>
      </w:r>
      <w:r w:rsidRPr="00524D85">
        <w:rPr>
          <w:rStyle w:val="markedcontent"/>
          <w:szCs w:val="18"/>
        </w:rPr>
        <w:t xml:space="preserve">Section 48 – Remuneration of professional administrators, </w:t>
      </w:r>
      <w:r w:rsidRPr="00524D85">
        <w:rPr>
          <w:rStyle w:val="markedcontent"/>
          <w:i/>
          <w:iCs/>
          <w:szCs w:val="18"/>
        </w:rPr>
        <w:t>Guardianship and Administration Act 2000</w:t>
      </w:r>
      <w:r w:rsidRPr="00524D85">
        <w:rPr>
          <w:rStyle w:val="markedcontent"/>
          <w:szCs w:val="18"/>
        </w:rPr>
        <w:t xml:space="preserve"> (Qld)</w:t>
      </w:r>
    </w:p>
  </w:footnote>
  <w:footnote w:id="13">
    <w:p w14:paraId="7F2BFC63" w14:textId="499B969B" w:rsidR="00E478FD" w:rsidRDefault="00E478FD" w:rsidP="0075384B">
      <w:pPr>
        <w:pStyle w:val="FootnoteText"/>
      </w:pPr>
      <w:r>
        <w:rPr>
          <w:rStyle w:val="FootnoteReference"/>
        </w:rPr>
        <w:footnoteRef/>
      </w:r>
      <w:r>
        <w:t xml:space="preserve"> </w:t>
      </w:r>
      <w:r w:rsidRPr="00E478FD">
        <w:t>SMD (No 2) [2015] QCAT 190</w:t>
      </w:r>
      <w:r w:rsidR="00B9065B">
        <w:t xml:space="preserve">. However, QCAT did not suggest that $420 was appropriate in other circumstances, but </w:t>
      </w:r>
      <w:r w:rsidR="0052616A">
        <w:t xml:space="preserve">found </w:t>
      </w:r>
      <w:r w:rsidR="00B9065B">
        <w:t xml:space="preserve">that </w:t>
      </w:r>
      <w:r w:rsidR="0052616A">
        <w:t>it represented the value of the administrator’s time in this particular case.</w:t>
      </w:r>
    </w:p>
  </w:footnote>
  <w:footnote w:id="14">
    <w:p w14:paraId="2EB2C402" w14:textId="4866C313" w:rsidR="00E11B24" w:rsidRDefault="00E11B24" w:rsidP="000949FD">
      <w:pPr>
        <w:spacing w:after="0" w:line="240" w:lineRule="auto"/>
      </w:pPr>
      <w:r w:rsidRPr="00E8365A">
        <w:rPr>
          <w:rStyle w:val="FootnoteReference"/>
        </w:rPr>
        <w:footnoteRef/>
      </w:r>
      <w:r w:rsidRPr="00E8365A">
        <w:t xml:space="preserve"> </w:t>
      </w:r>
      <w:r w:rsidR="007706B1" w:rsidRPr="007706B1">
        <w:rPr>
          <w:rFonts w:cstheme="minorHAnsi"/>
          <w:sz w:val="18"/>
          <w:szCs w:val="18"/>
        </w:rPr>
        <w:t xml:space="preserve">The Queensland Public Advocate recently recommended a full review of </w:t>
      </w:r>
      <w:r w:rsidR="00E8365A">
        <w:rPr>
          <w:rFonts w:cstheme="minorHAnsi"/>
          <w:sz w:val="18"/>
          <w:szCs w:val="18"/>
        </w:rPr>
        <w:t xml:space="preserve">its </w:t>
      </w:r>
      <w:r w:rsidR="007706B1" w:rsidRPr="007706B1">
        <w:rPr>
          <w:rFonts w:cstheme="minorHAnsi"/>
          <w:sz w:val="18"/>
          <w:szCs w:val="18"/>
        </w:rPr>
        <w:t xml:space="preserve">fees and charges, including </w:t>
      </w:r>
      <w:r w:rsidR="00CF7D77">
        <w:rPr>
          <w:rFonts w:cstheme="minorHAnsi"/>
          <w:sz w:val="18"/>
          <w:szCs w:val="18"/>
        </w:rPr>
        <w:t xml:space="preserve">proposing </w:t>
      </w:r>
      <w:r w:rsidR="007706B1" w:rsidRPr="007706B1">
        <w:rPr>
          <w:rFonts w:cstheme="minorHAnsi"/>
          <w:sz w:val="18"/>
          <w:szCs w:val="18"/>
        </w:rPr>
        <w:t xml:space="preserve">a simpler fee regime for administration clients and greater transparency. See: </w:t>
      </w:r>
      <w:r w:rsidR="007706B1" w:rsidRPr="00E8365A">
        <w:rPr>
          <w:rStyle w:val="markedcontent"/>
          <w:rFonts w:cstheme="minorHAnsi"/>
          <w:i/>
          <w:iCs/>
          <w:sz w:val="18"/>
          <w:szCs w:val="18"/>
        </w:rPr>
        <w:t>Preserving the financial futures of vulnerable Queenslanders: A review of Public Trustee fees, charges and practices List of recommendations</w:t>
      </w:r>
      <w:r w:rsidR="007706B1" w:rsidRPr="007706B1">
        <w:rPr>
          <w:rStyle w:val="markedcontent"/>
          <w:rFonts w:cstheme="minorHAnsi"/>
          <w:sz w:val="18"/>
          <w:szCs w:val="18"/>
        </w:rPr>
        <w:t>, January 2021</w:t>
      </w:r>
      <w:r w:rsidR="007706B1">
        <w:rPr>
          <w:rStyle w:val="markedcontent"/>
          <w:rFonts w:cstheme="minorHAnsi"/>
          <w:sz w:val="18"/>
          <w:szCs w:val="18"/>
        </w:rPr>
        <w:t xml:space="preserve">: </w:t>
      </w:r>
      <w:r w:rsidR="007706B1" w:rsidRPr="007706B1">
        <w:rPr>
          <w:rStyle w:val="markedcontent"/>
          <w:rFonts w:cstheme="minorHAnsi"/>
          <w:sz w:val="18"/>
          <w:szCs w:val="18"/>
        </w:rPr>
        <w:t>https://www.justice.qld.gov.au/__data/assets/pdf_file/0006/698928/opa-public-trustee-fees-and-charges-report-list-of-recommendations.pdf</w:t>
      </w:r>
    </w:p>
  </w:footnote>
  <w:footnote w:id="15">
    <w:p w14:paraId="4E4C0134" w14:textId="0F0D7E32" w:rsidR="008359CC" w:rsidRDefault="008359CC" w:rsidP="0075384B">
      <w:pPr>
        <w:pStyle w:val="FootnoteText"/>
      </w:pPr>
      <w:r>
        <w:rPr>
          <w:rStyle w:val="FootnoteReference"/>
        </w:rPr>
        <w:footnoteRef/>
      </w:r>
      <w:r>
        <w:t xml:space="preserve"> </w:t>
      </w:r>
      <w:r w:rsidR="009320C2">
        <w:t>Commercially quoted hourly rates from</w:t>
      </w:r>
      <w:r>
        <w:t xml:space="preserve"> websites</w:t>
      </w:r>
      <w:r w:rsidR="009320C2">
        <w:t>:</w:t>
      </w:r>
      <w:r>
        <w:t xml:space="preserve"> </w:t>
      </w:r>
      <w:hyperlink r:id="rId2" w:history="1">
        <w:r w:rsidRPr="001F660C">
          <w:rPr>
            <w:rStyle w:val="Hyperlink"/>
            <w:rFonts w:asciiTheme="minorHAnsi" w:hAnsiTheme="minorHAnsi"/>
          </w:rPr>
          <w:t>https://obrienaccountants.com/baserate.html</w:t>
        </w:r>
      </w:hyperlink>
      <w:r>
        <w:t xml:space="preserve">; </w:t>
      </w:r>
      <w:hyperlink r:id="rId3" w:history="1">
        <w:r w:rsidRPr="001F660C">
          <w:rPr>
            <w:rStyle w:val="Hyperlink"/>
            <w:rFonts w:asciiTheme="minorHAnsi" w:hAnsiTheme="minorHAnsi"/>
          </w:rPr>
          <w:t>https://www.blackandkrantz.com.au/about_us/fees</w:t>
        </w:r>
      </w:hyperlink>
      <w:r>
        <w:t xml:space="preserve">; </w:t>
      </w:r>
      <w:hyperlink r:id="rId4" w:history="1">
        <w:r w:rsidRPr="001F660C">
          <w:rPr>
            <w:rStyle w:val="Hyperlink"/>
            <w:rFonts w:asciiTheme="minorHAnsi" w:hAnsiTheme="minorHAnsi"/>
          </w:rPr>
          <w:t>https://www.airtasker.com/accounting/tax-accountants/price/tax-accounting-cost/</w:t>
        </w:r>
      </w:hyperlink>
      <w:r>
        <w:t xml:space="preserve">; </w:t>
      </w:r>
      <w:hyperlink r:id="rId5" w:history="1">
        <w:r w:rsidRPr="001F660C">
          <w:rPr>
            <w:rStyle w:val="Hyperlink"/>
            <w:rFonts w:asciiTheme="minorHAnsi" w:hAnsiTheme="minorHAnsi"/>
          </w:rPr>
          <w:t>https://www.airtasker.com/accounting/financial-advisor/price/financial-advisor-cost/</w:t>
        </w:r>
      </w:hyperlink>
      <w:r>
        <w:t xml:space="preserve">; </w:t>
      </w:r>
    </w:p>
  </w:footnote>
  <w:footnote w:id="16">
    <w:p w14:paraId="48F2D13C" w14:textId="39935B13" w:rsidR="00AD1F8F" w:rsidRDefault="00AD1F8F" w:rsidP="0075384B">
      <w:pPr>
        <w:pStyle w:val="FootnoteText"/>
      </w:pPr>
      <w:r>
        <w:rPr>
          <w:rStyle w:val="FootnoteReference"/>
        </w:rPr>
        <w:footnoteRef/>
      </w:r>
      <w:r>
        <w:t xml:space="preserve"> </w:t>
      </w:r>
      <w:r w:rsidRPr="009F56B7">
        <w:rPr>
          <w:lang w:eastAsia="ja-JP"/>
        </w:rPr>
        <w:t xml:space="preserve">ABS Cat. 6302.0 Average Weekly Earnings, Australia, Financial and </w:t>
      </w:r>
      <w:r w:rsidR="00834D13">
        <w:rPr>
          <w:lang w:eastAsia="ja-JP"/>
        </w:rPr>
        <w:t>I</w:t>
      </w:r>
      <w:r w:rsidRPr="009F56B7">
        <w:rPr>
          <w:lang w:eastAsia="ja-JP"/>
        </w:rPr>
        <w:t xml:space="preserve">nsurance </w:t>
      </w:r>
      <w:r w:rsidR="00834D13">
        <w:rPr>
          <w:lang w:eastAsia="ja-JP"/>
        </w:rPr>
        <w:t>S</w:t>
      </w:r>
      <w:r w:rsidRPr="009F56B7">
        <w:rPr>
          <w:lang w:eastAsia="ja-JP"/>
        </w:rPr>
        <w:t xml:space="preserve">ervices sector (May 2002). Sector selected as a proxy for staff of </w:t>
      </w:r>
      <w:r w:rsidRPr="009F56B7">
        <w:t>administrators</w:t>
      </w:r>
      <w:r w:rsidR="00F77999">
        <w:rPr>
          <w:lang w:eastAsia="ja-JP"/>
        </w:rPr>
        <w:t xml:space="preserve"> </w:t>
      </w:r>
      <w:r w:rsidR="0082597B" w:rsidRPr="0082597B">
        <w:rPr>
          <w:lang w:eastAsia="ja-JP"/>
        </w:rPr>
        <w:t>(e.g., junior staff, support and admin staff, and clerks).</w:t>
      </w:r>
    </w:p>
  </w:footnote>
  <w:footnote w:id="17">
    <w:p w14:paraId="1AE174F4" w14:textId="7C56420F" w:rsidR="00975659" w:rsidRPr="00975659" w:rsidRDefault="00975659" w:rsidP="003A673A">
      <w:pPr>
        <w:pStyle w:val="FootnoteText"/>
        <w:rPr>
          <w:szCs w:val="18"/>
        </w:rPr>
      </w:pPr>
      <w:r>
        <w:rPr>
          <w:rStyle w:val="FootnoteReference"/>
        </w:rPr>
        <w:footnoteRef/>
      </w:r>
      <w:r>
        <w:t xml:space="preserve"> </w:t>
      </w:r>
      <w:r w:rsidR="00834D13" w:rsidRPr="00264EAE">
        <w:rPr>
          <w:rFonts w:eastAsia="Times New Roman"/>
          <w:szCs w:val="18"/>
          <w:lang w:eastAsia="en-AU"/>
        </w:rPr>
        <w:t xml:space="preserve">Average weekly </w:t>
      </w:r>
      <w:r w:rsidR="00834D13" w:rsidRPr="003A673A">
        <w:t>earnings</w:t>
      </w:r>
      <w:r w:rsidR="00834D13" w:rsidRPr="00834D13">
        <w:rPr>
          <w:rFonts w:eastAsia="Times New Roman"/>
          <w:szCs w:val="18"/>
          <w:lang w:eastAsia="en-AU"/>
        </w:rPr>
        <w:t xml:space="preserve">, Financial and Insurances Services Sector, </w:t>
      </w:r>
      <w:r w:rsidR="00834D13" w:rsidRPr="00264EAE">
        <w:rPr>
          <w:rFonts w:eastAsia="Times New Roman"/>
          <w:szCs w:val="18"/>
          <w:lang w:eastAsia="en-AU"/>
        </w:rPr>
        <w:t>original - males, full time adult ordinary time earnings</w:t>
      </w:r>
      <w:r w:rsidR="00834D13" w:rsidRPr="00834D13">
        <w:rPr>
          <w:rFonts w:eastAsia="Times New Roman"/>
          <w:szCs w:val="18"/>
          <w:lang w:eastAsia="en-AU"/>
        </w:rPr>
        <w:t xml:space="preserve"> - $2,355.80; </w:t>
      </w:r>
      <w:r w:rsidR="00834D13" w:rsidRPr="00264EAE">
        <w:rPr>
          <w:rFonts w:eastAsia="Times New Roman"/>
          <w:szCs w:val="18"/>
          <w:lang w:eastAsia="en-AU"/>
        </w:rPr>
        <w:t>Average weekly earnings</w:t>
      </w:r>
      <w:r w:rsidR="00834D13" w:rsidRPr="00834D13">
        <w:rPr>
          <w:rFonts w:eastAsia="Times New Roman"/>
          <w:szCs w:val="18"/>
          <w:lang w:eastAsia="en-AU"/>
        </w:rPr>
        <w:t xml:space="preserve">, Financial and Insurances Services sector, </w:t>
      </w:r>
      <w:r w:rsidR="00834D13" w:rsidRPr="00264EAE">
        <w:rPr>
          <w:rFonts w:eastAsia="Times New Roman"/>
          <w:szCs w:val="18"/>
          <w:lang w:eastAsia="en-AU"/>
        </w:rPr>
        <w:t xml:space="preserve">original - </w:t>
      </w:r>
      <w:r w:rsidR="00834D13" w:rsidRPr="00834D13">
        <w:rPr>
          <w:rFonts w:eastAsia="Times New Roman"/>
          <w:szCs w:val="18"/>
          <w:lang w:eastAsia="en-AU"/>
        </w:rPr>
        <w:t>fe</w:t>
      </w:r>
      <w:r w:rsidR="00834D13" w:rsidRPr="00264EAE">
        <w:rPr>
          <w:rFonts w:eastAsia="Times New Roman"/>
          <w:szCs w:val="18"/>
          <w:lang w:eastAsia="en-AU"/>
        </w:rPr>
        <w:t>males, full time adult ordinary time earnings</w:t>
      </w:r>
      <w:r w:rsidR="00834D13" w:rsidRPr="00834D13">
        <w:rPr>
          <w:rFonts w:eastAsia="Times New Roman"/>
          <w:szCs w:val="18"/>
          <w:lang w:eastAsia="en-AU"/>
        </w:rPr>
        <w:t xml:space="preserve"> - $1,907.80. </w:t>
      </w:r>
      <w:r w:rsidR="007E1298" w:rsidRPr="00834D13">
        <w:rPr>
          <w:szCs w:val="18"/>
          <w:lang w:eastAsia="ja-JP"/>
        </w:rPr>
        <w:t xml:space="preserve">Average week earnings </w:t>
      </w:r>
      <w:r w:rsidR="00834D13" w:rsidRPr="00834D13">
        <w:rPr>
          <w:szCs w:val="18"/>
          <w:lang w:eastAsia="ja-JP"/>
        </w:rPr>
        <w:t>(male and female</w:t>
      </w:r>
      <w:r w:rsidR="007E1298" w:rsidRPr="00834D13">
        <w:rPr>
          <w:szCs w:val="18"/>
          <w:lang w:eastAsia="ja-JP"/>
        </w:rPr>
        <w:t xml:space="preserve">)  ÷  </w:t>
      </w:r>
      <w:r w:rsidR="00834D13" w:rsidRPr="00834D13">
        <w:rPr>
          <w:szCs w:val="18"/>
          <w:lang w:eastAsia="ja-JP"/>
        </w:rPr>
        <w:t>40</w:t>
      </w:r>
      <w:r w:rsidR="007E1298" w:rsidRPr="00834D13">
        <w:rPr>
          <w:szCs w:val="18"/>
          <w:lang w:eastAsia="ja-JP"/>
        </w:rPr>
        <w:t xml:space="preserve"> hours  x  1.75 </w:t>
      </w:r>
      <w:r w:rsidR="00834D13" w:rsidRPr="00834D13">
        <w:rPr>
          <w:szCs w:val="18"/>
          <w:lang w:eastAsia="ja-JP"/>
        </w:rPr>
        <w:t xml:space="preserve">provides a range of </w:t>
      </w:r>
      <w:r w:rsidR="007E1298" w:rsidRPr="00834D13">
        <w:rPr>
          <w:szCs w:val="18"/>
          <w:lang w:eastAsia="ja-JP"/>
        </w:rPr>
        <w:t>$</w:t>
      </w:r>
      <w:r w:rsidR="00834D13" w:rsidRPr="00834D13">
        <w:rPr>
          <w:szCs w:val="18"/>
          <w:lang w:eastAsia="ja-JP"/>
        </w:rPr>
        <w:t>83.48 to $103.08</w:t>
      </w:r>
      <w:r w:rsidR="007E1298" w:rsidRPr="00834D13">
        <w:rPr>
          <w:szCs w:val="18"/>
          <w:lang w:eastAsia="ja-JP"/>
        </w:rPr>
        <w:t xml:space="preserve"> (</w:t>
      </w:r>
      <w:r w:rsidR="00834D13" w:rsidRPr="00834D13">
        <w:rPr>
          <w:szCs w:val="18"/>
          <w:lang w:eastAsia="ja-JP"/>
        </w:rPr>
        <w:t>approximated</w:t>
      </w:r>
      <w:r w:rsidR="007E1298" w:rsidRPr="00834D13">
        <w:rPr>
          <w:szCs w:val="18"/>
          <w:lang w:eastAsia="ja-JP"/>
        </w:rPr>
        <w:t xml:space="preserve"> to $100 per hour</w:t>
      </w:r>
      <w:r w:rsidR="00DC2DD3" w:rsidRPr="00834D13">
        <w:rPr>
          <w:szCs w:val="18"/>
          <w:lang w:eastAsia="ja-JP"/>
        </w:rPr>
        <w:t>)</w:t>
      </w:r>
      <w:r w:rsidR="00F77999" w:rsidRPr="00834D13">
        <w:rPr>
          <w:szCs w:val="18"/>
          <w:lang w:eastAsia="ja-JP"/>
        </w:rPr>
        <w:t>. See also:</w:t>
      </w:r>
      <w:r w:rsidR="00F77999">
        <w:rPr>
          <w:lang w:eastAsia="ja-JP"/>
        </w:rPr>
        <w:t xml:space="preserve"> </w:t>
      </w:r>
      <w:hyperlink r:id="rId6" w:history="1">
        <w:r w:rsidR="00800EF4" w:rsidRPr="00363472">
          <w:rPr>
            <w:rStyle w:val="Hyperlink"/>
            <w:rFonts w:asciiTheme="minorHAnsi" w:hAnsiTheme="minorHAnsi"/>
            <w:lang w:eastAsia="ja-JP"/>
          </w:rPr>
          <w:t>https://www.abs.gov.au/articles/understanding-full-time-and-part-time-work</w:t>
        </w:r>
      </w:hyperlink>
      <w:r w:rsidR="00800EF4">
        <w:rPr>
          <w:lang w:eastAsia="ja-JP"/>
        </w:rPr>
        <w:t xml:space="preserve"> . </w:t>
      </w:r>
      <w:r w:rsidR="00800EF4" w:rsidRPr="00800EF4">
        <w:rPr>
          <w:lang w:eastAsia="ja-JP"/>
        </w:rPr>
        <w:t>Guidance notes provided by D</w:t>
      </w:r>
      <w:r w:rsidR="00004943">
        <w:rPr>
          <w:lang w:eastAsia="ja-JP"/>
        </w:rPr>
        <w:t xml:space="preserve">epartment of </w:t>
      </w:r>
      <w:r w:rsidR="00800EF4" w:rsidRPr="00800EF4">
        <w:rPr>
          <w:lang w:eastAsia="ja-JP"/>
        </w:rPr>
        <w:t>T</w:t>
      </w:r>
      <w:r w:rsidR="00004943">
        <w:rPr>
          <w:lang w:eastAsia="ja-JP"/>
        </w:rPr>
        <w:t xml:space="preserve">reasury and </w:t>
      </w:r>
      <w:r w:rsidR="00800EF4" w:rsidRPr="00800EF4">
        <w:rPr>
          <w:lang w:eastAsia="ja-JP"/>
        </w:rPr>
        <w:t>F</w:t>
      </w:r>
      <w:r w:rsidR="00004943">
        <w:rPr>
          <w:lang w:eastAsia="ja-JP"/>
        </w:rPr>
        <w:t>inance</w:t>
      </w:r>
      <w:r w:rsidR="00800EF4" w:rsidRPr="00800EF4">
        <w:rPr>
          <w:lang w:eastAsia="ja-JP"/>
        </w:rPr>
        <w:t xml:space="preserve"> suggest the use of a </w:t>
      </w:r>
      <w:r w:rsidR="0000218C">
        <w:rPr>
          <w:lang w:eastAsia="ja-JP"/>
        </w:rPr>
        <w:t xml:space="preserve">multiplier </w:t>
      </w:r>
      <w:r w:rsidR="00800EF4" w:rsidRPr="00800EF4">
        <w:rPr>
          <w:lang w:eastAsia="ja-JP"/>
        </w:rPr>
        <w:t xml:space="preserve">of 1.75 to </w:t>
      </w:r>
      <w:r w:rsidR="0000218C">
        <w:rPr>
          <w:lang w:eastAsia="ja-JP"/>
        </w:rPr>
        <w:t>account for</w:t>
      </w:r>
      <w:r w:rsidR="00800EF4" w:rsidRPr="00800EF4">
        <w:rPr>
          <w:lang w:eastAsia="ja-JP"/>
        </w:rPr>
        <w:t xml:space="preserve"> labour on-costs </w:t>
      </w:r>
      <w:r w:rsidR="0000218C">
        <w:rPr>
          <w:lang w:eastAsia="ja-JP"/>
        </w:rPr>
        <w:t xml:space="preserve">of employees </w:t>
      </w:r>
      <w:r w:rsidR="00800EF4" w:rsidRPr="00800EF4">
        <w:rPr>
          <w:lang w:eastAsia="ja-JP"/>
        </w:rPr>
        <w:t>(factor of 1.25) and corporate overheads (factor of 1.50).</w:t>
      </w:r>
    </w:p>
  </w:footnote>
  <w:footnote w:id="18">
    <w:p w14:paraId="68F797A6" w14:textId="45834DAB" w:rsidR="007F3A71" w:rsidRDefault="007F3A71" w:rsidP="0075384B">
      <w:pPr>
        <w:pStyle w:val="FootnoteText"/>
      </w:pPr>
      <w:r>
        <w:rPr>
          <w:rStyle w:val="FootnoteReference"/>
        </w:rPr>
        <w:footnoteRef/>
      </w:r>
      <w:r>
        <w:t xml:space="preserve"> </w:t>
      </w:r>
      <w:r w:rsidRPr="007F3A71">
        <w:t xml:space="preserve">Note: for legal services that require section 51 </w:t>
      </w:r>
      <w:r w:rsidR="00454311">
        <w:t xml:space="preserve">of the GAA </w:t>
      </w:r>
      <w:r w:rsidRPr="007F3A71">
        <w:t>approval (bringing or defending actions or other legal proceedings), or for any other activities for which the administrator order states VCAT approval is required, remuneration would be determined under those separate arrangements.</w:t>
      </w:r>
    </w:p>
  </w:footnote>
  <w:footnote w:id="19">
    <w:p w14:paraId="021CBB42" w14:textId="77777777" w:rsidR="00575012" w:rsidRPr="007F53D7" w:rsidRDefault="00575012" w:rsidP="00575012">
      <w:pPr>
        <w:spacing w:after="0"/>
        <w:rPr>
          <w:sz w:val="18"/>
          <w:szCs w:val="20"/>
        </w:rPr>
      </w:pPr>
      <w:r>
        <w:rPr>
          <w:rStyle w:val="FootnoteReference"/>
        </w:rPr>
        <w:footnoteRef/>
      </w:r>
      <w:r>
        <w:t xml:space="preserve"> </w:t>
      </w:r>
      <w:r w:rsidRPr="007F53D7">
        <w:rPr>
          <w:sz w:val="18"/>
          <w:szCs w:val="20"/>
        </w:rPr>
        <w:t>Administration guide: A guide for people appointed as administrators under the Guardianship and Administration Act 2019 (March 2020), p. 12: https://www.publicadvocate.vic.gov.au/joomlatools-files/docman-files/booklet/Guardianship_Guide.pdf</w:t>
      </w:r>
    </w:p>
  </w:footnote>
  <w:footnote w:id="20">
    <w:p w14:paraId="2348749F" w14:textId="77777777" w:rsidR="00575012" w:rsidRDefault="00575012" w:rsidP="00575012">
      <w:pPr>
        <w:pStyle w:val="FootnoteText"/>
      </w:pPr>
      <w:r>
        <w:rPr>
          <w:rStyle w:val="FootnoteReference"/>
        </w:rPr>
        <w:footnoteRef/>
      </w:r>
      <w:r>
        <w:t xml:space="preserve">  </w:t>
      </w:r>
      <w:r w:rsidRPr="00BD450C">
        <w:t xml:space="preserve">Administration guide: A guide for people appointed as administrators, ibid, </w:t>
      </w:r>
      <w:r>
        <w:t>p. 10</w:t>
      </w:r>
    </w:p>
  </w:footnote>
  <w:footnote w:id="21">
    <w:p w14:paraId="2DAEC099" w14:textId="77777777" w:rsidR="00575012" w:rsidRDefault="00575012" w:rsidP="00575012">
      <w:pPr>
        <w:pStyle w:val="FootnoteText"/>
      </w:pPr>
      <w:r>
        <w:rPr>
          <w:rStyle w:val="FootnoteReference"/>
        </w:rPr>
        <w:footnoteRef/>
      </w:r>
      <w:r>
        <w:t xml:space="preserve"> See section 55 of the GAA.</w:t>
      </w:r>
    </w:p>
  </w:footnote>
  <w:footnote w:id="22">
    <w:p w14:paraId="241F66FB" w14:textId="77777777" w:rsidR="00575012" w:rsidRDefault="00575012" w:rsidP="00575012">
      <w:pPr>
        <w:pStyle w:val="FootnoteText"/>
      </w:pPr>
      <w:r>
        <w:rPr>
          <w:rStyle w:val="FootnoteReference"/>
        </w:rPr>
        <w:footnoteRef/>
      </w:r>
      <w:r>
        <w:t xml:space="preserve"> Section 64 of the GAA.</w:t>
      </w:r>
    </w:p>
  </w:footnote>
  <w:footnote w:id="23">
    <w:p w14:paraId="5907E4FD" w14:textId="77777777" w:rsidR="00947332" w:rsidRDefault="00947332" w:rsidP="0075384B">
      <w:pPr>
        <w:pStyle w:val="FootnoteText"/>
      </w:pPr>
      <w:r>
        <w:rPr>
          <w:rStyle w:val="FootnoteReference"/>
        </w:rPr>
        <w:footnoteRef/>
      </w:r>
      <w:r>
        <w:t xml:space="preserve"> It is </w:t>
      </w:r>
      <w:r w:rsidRPr="00D30A90">
        <w:t xml:space="preserve">recommended that </w:t>
      </w:r>
      <w:r>
        <w:t xml:space="preserve">when made under the Rules, the </w:t>
      </w:r>
      <w:r w:rsidRPr="00D30A90">
        <w:t>fee</w:t>
      </w:r>
      <w:r>
        <w:t xml:space="preserve"> amounts</w:t>
      </w:r>
      <w:r w:rsidRPr="00D30A90">
        <w:t xml:space="preserve"> </w:t>
      </w:r>
      <w:r>
        <w:t xml:space="preserve">will </w:t>
      </w:r>
      <w:r w:rsidRPr="00D30A90">
        <w:t>be set in terms of fee units under the M</w:t>
      </w:r>
      <w:r>
        <w:t>onetary Units Act</w:t>
      </w:r>
      <w:r w:rsidRPr="00D30A90">
        <w:t>, so they can increase without the need to remake the scale each year</w:t>
      </w:r>
      <w:r>
        <w:t>, and long administrations also benefit from increasing remuneration amounts.</w:t>
      </w:r>
    </w:p>
  </w:footnote>
  <w:footnote w:id="24">
    <w:p w14:paraId="6CEE13B6" w14:textId="77777777" w:rsidR="00962E8B" w:rsidRDefault="00962E8B" w:rsidP="00962E8B">
      <w:pPr>
        <w:pStyle w:val="FootnoteText"/>
      </w:pPr>
      <w:r>
        <w:rPr>
          <w:rStyle w:val="FootnoteReference"/>
        </w:rPr>
        <w:footnoteRef/>
      </w:r>
      <w:r>
        <w:t xml:space="preserve"> VCAT may still allow remuneration to be paid to administrators that are not in the business of administration of estates, however this is a decision under s. 175(1) of the GAA, and would not fall within the scope of the proposed remuneration scale, which applies only to administrators under s. 175(2).</w:t>
      </w:r>
    </w:p>
  </w:footnote>
  <w:footnote w:id="25">
    <w:p w14:paraId="0477187E" w14:textId="77777777" w:rsidR="00962E8B" w:rsidRDefault="00962E8B" w:rsidP="00962E8B">
      <w:pPr>
        <w:pStyle w:val="FootnoteText"/>
      </w:pPr>
      <w:r>
        <w:rPr>
          <w:rStyle w:val="FootnoteReference"/>
        </w:rPr>
        <w:footnoteRef/>
      </w:r>
      <w:r>
        <w:t xml:space="preserve"> </w:t>
      </w:r>
      <w:r w:rsidRPr="00C07E26">
        <w:rPr>
          <w:i/>
          <w:iCs/>
        </w:rPr>
        <w:t>Preston</w:t>
      </w:r>
      <w:r w:rsidRPr="000674FF">
        <w:t xml:space="preserve"> [2016] QCAT 52</w:t>
      </w:r>
      <w:r>
        <w:t>.</w:t>
      </w:r>
    </w:p>
  </w:footnote>
  <w:footnote w:id="26">
    <w:p w14:paraId="6EE507BF" w14:textId="77777777" w:rsidR="00042AA4" w:rsidRDefault="00042AA4" w:rsidP="0075384B">
      <w:pPr>
        <w:pStyle w:val="FootnoteText"/>
      </w:pPr>
      <w:r>
        <w:rPr>
          <w:rStyle w:val="FootnoteReference"/>
        </w:rPr>
        <w:footnoteRef/>
      </w:r>
      <w:r>
        <w:t xml:space="preserve"> </w:t>
      </w:r>
      <w:r w:rsidRPr="00DE0EF4">
        <w:t>https://www.tascat.tas.gov.au/__data/assets/pdf_file/0003/637302/Private-Administrator-Handbook.pdf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E225" w14:textId="77777777" w:rsidR="00214347" w:rsidRDefault="00214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E52A" w14:textId="77777777" w:rsidR="00214347" w:rsidRDefault="002143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DC40" w14:textId="77777777" w:rsidR="00214347" w:rsidRDefault="00214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077"/>
    <w:multiLevelType w:val="hybridMultilevel"/>
    <w:tmpl w:val="02C212A8"/>
    <w:lvl w:ilvl="0" w:tplc="B45A8E78">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07329"/>
    <w:multiLevelType w:val="hybridMultilevel"/>
    <w:tmpl w:val="8CC01140"/>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 w15:restartNumberingAfterBreak="0">
    <w:nsid w:val="0C6B1981"/>
    <w:multiLevelType w:val="hybridMultilevel"/>
    <w:tmpl w:val="1BCA7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4F44DA"/>
    <w:multiLevelType w:val="hybridMultilevel"/>
    <w:tmpl w:val="878EC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F17079"/>
    <w:multiLevelType w:val="hybridMultilevel"/>
    <w:tmpl w:val="59127322"/>
    <w:lvl w:ilvl="0" w:tplc="B0008B3E">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B04A2A"/>
    <w:multiLevelType w:val="multilevel"/>
    <w:tmpl w:val="9FF4C2E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35878FA"/>
    <w:multiLevelType w:val="hybridMultilevel"/>
    <w:tmpl w:val="9ED61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656E50"/>
    <w:multiLevelType w:val="hybridMultilevel"/>
    <w:tmpl w:val="A0603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403892"/>
    <w:multiLevelType w:val="hybridMultilevel"/>
    <w:tmpl w:val="3DBCE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02579B"/>
    <w:multiLevelType w:val="hybridMultilevel"/>
    <w:tmpl w:val="D4C87C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F2916A5"/>
    <w:multiLevelType w:val="hybridMultilevel"/>
    <w:tmpl w:val="F49ED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060C22"/>
    <w:multiLevelType w:val="hybridMultilevel"/>
    <w:tmpl w:val="C7F0EDBA"/>
    <w:lvl w:ilvl="0" w:tplc="0C090001">
      <w:start w:val="1"/>
      <w:numFmt w:val="bullet"/>
      <w:lvlText w:val=""/>
      <w:lvlJc w:val="left"/>
      <w:pPr>
        <w:ind w:left="6480" w:hanging="360"/>
      </w:pPr>
      <w:rPr>
        <w:rFonts w:ascii="Symbol" w:hAnsi="Symbol" w:hint="default"/>
      </w:rPr>
    </w:lvl>
    <w:lvl w:ilvl="1" w:tplc="0C090003" w:tentative="1">
      <w:start w:val="1"/>
      <w:numFmt w:val="bullet"/>
      <w:lvlText w:val="o"/>
      <w:lvlJc w:val="left"/>
      <w:pPr>
        <w:ind w:left="7200" w:hanging="360"/>
      </w:pPr>
      <w:rPr>
        <w:rFonts w:ascii="Courier New" w:hAnsi="Courier New" w:cs="Courier New" w:hint="default"/>
      </w:rPr>
    </w:lvl>
    <w:lvl w:ilvl="2" w:tplc="0C090005" w:tentative="1">
      <w:start w:val="1"/>
      <w:numFmt w:val="bullet"/>
      <w:lvlText w:val=""/>
      <w:lvlJc w:val="left"/>
      <w:pPr>
        <w:ind w:left="7920" w:hanging="360"/>
      </w:pPr>
      <w:rPr>
        <w:rFonts w:ascii="Wingdings" w:hAnsi="Wingdings" w:hint="default"/>
      </w:rPr>
    </w:lvl>
    <w:lvl w:ilvl="3" w:tplc="0C090001" w:tentative="1">
      <w:start w:val="1"/>
      <w:numFmt w:val="bullet"/>
      <w:lvlText w:val=""/>
      <w:lvlJc w:val="left"/>
      <w:pPr>
        <w:ind w:left="8640" w:hanging="360"/>
      </w:pPr>
      <w:rPr>
        <w:rFonts w:ascii="Symbol" w:hAnsi="Symbol" w:hint="default"/>
      </w:rPr>
    </w:lvl>
    <w:lvl w:ilvl="4" w:tplc="0C090003" w:tentative="1">
      <w:start w:val="1"/>
      <w:numFmt w:val="bullet"/>
      <w:lvlText w:val="o"/>
      <w:lvlJc w:val="left"/>
      <w:pPr>
        <w:ind w:left="9360" w:hanging="360"/>
      </w:pPr>
      <w:rPr>
        <w:rFonts w:ascii="Courier New" w:hAnsi="Courier New" w:cs="Courier New" w:hint="default"/>
      </w:rPr>
    </w:lvl>
    <w:lvl w:ilvl="5" w:tplc="0C090005" w:tentative="1">
      <w:start w:val="1"/>
      <w:numFmt w:val="bullet"/>
      <w:lvlText w:val=""/>
      <w:lvlJc w:val="left"/>
      <w:pPr>
        <w:ind w:left="10080" w:hanging="360"/>
      </w:pPr>
      <w:rPr>
        <w:rFonts w:ascii="Wingdings" w:hAnsi="Wingdings" w:hint="default"/>
      </w:rPr>
    </w:lvl>
    <w:lvl w:ilvl="6" w:tplc="0C090001" w:tentative="1">
      <w:start w:val="1"/>
      <w:numFmt w:val="bullet"/>
      <w:lvlText w:val=""/>
      <w:lvlJc w:val="left"/>
      <w:pPr>
        <w:ind w:left="10800" w:hanging="360"/>
      </w:pPr>
      <w:rPr>
        <w:rFonts w:ascii="Symbol" w:hAnsi="Symbol" w:hint="default"/>
      </w:rPr>
    </w:lvl>
    <w:lvl w:ilvl="7" w:tplc="0C090003" w:tentative="1">
      <w:start w:val="1"/>
      <w:numFmt w:val="bullet"/>
      <w:lvlText w:val="o"/>
      <w:lvlJc w:val="left"/>
      <w:pPr>
        <w:ind w:left="11520" w:hanging="360"/>
      </w:pPr>
      <w:rPr>
        <w:rFonts w:ascii="Courier New" w:hAnsi="Courier New" w:cs="Courier New" w:hint="default"/>
      </w:rPr>
    </w:lvl>
    <w:lvl w:ilvl="8" w:tplc="0C090005" w:tentative="1">
      <w:start w:val="1"/>
      <w:numFmt w:val="bullet"/>
      <w:lvlText w:val=""/>
      <w:lvlJc w:val="left"/>
      <w:pPr>
        <w:ind w:left="12240" w:hanging="360"/>
      </w:pPr>
      <w:rPr>
        <w:rFonts w:ascii="Wingdings" w:hAnsi="Wingdings" w:hint="default"/>
      </w:rPr>
    </w:lvl>
  </w:abstractNum>
  <w:abstractNum w:abstractNumId="12" w15:restartNumberingAfterBreak="0">
    <w:nsid w:val="586F6F18"/>
    <w:multiLevelType w:val="multilevel"/>
    <w:tmpl w:val="58A6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5A51B1"/>
    <w:multiLevelType w:val="hybridMultilevel"/>
    <w:tmpl w:val="D4F8BB52"/>
    <w:lvl w:ilvl="0" w:tplc="67D0FA8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FC43D0"/>
    <w:multiLevelType w:val="hybridMultilevel"/>
    <w:tmpl w:val="A1ACED08"/>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A6F39CE"/>
    <w:multiLevelType w:val="hybridMultilevel"/>
    <w:tmpl w:val="6D9A31F2"/>
    <w:lvl w:ilvl="0" w:tplc="B0008B3E">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CC1FC2"/>
    <w:multiLevelType w:val="hybridMultilevel"/>
    <w:tmpl w:val="16446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84625973">
    <w:abstractNumId w:val="5"/>
  </w:num>
  <w:num w:numId="2" w16cid:durableId="850682771">
    <w:abstractNumId w:val="0"/>
  </w:num>
  <w:num w:numId="3" w16cid:durableId="1047605179">
    <w:abstractNumId w:val="7"/>
  </w:num>
  <w:num w:numId="4" w16cid:durableId="2085490529">
    <w:abstractNumId w:val="0"/>
  </w:num>
  <w:num w:numId="5" w16cid:durableId="2089115875">
    <w:abstractNumId w:val="0"/>
  </w:num>
  <w:num w:numId="6" w16cid:durableId="1796831483">
    <w:abstractNumId w:val="0"/>
  </w:num>
  <w:num w:numId="7" w16cid:durableId="141775701">
    <w:abstractNumId w:val="0"/>
  </w:num>
  <w:num w:numId="8" w16cid:durableId="110980663">
    <w:abstractNumId w:val="0"/>
  </w:num>
  <w:num w:numId="9" w16cid:durableId="1424372394">
    <w:abstractNumId w:val="0"/>
  </w:num>
  <w:num w:numId="10" w16cid:durableId="1485203120">
    <w:abstractNumId w:val="0"/>
  </w:num>
  <w:num w:numId="11" w16cid:durableId="615720331">
    <w:abstractNumId w:val="0"/>
  </w:num>
  <w:num w:numId="12" w16cid:durableId="853114304">
    <w:abstractNumId w:val="0"/>
  </w:num>
  <w:num w:numId="13" w16cid:durableId="1980499028">
    <w:abstractNumId w:val="8"/>
  </w:num>
  <w:num w:numId="14" w16cid:durableId="114059450">
    <w:abstractNumId w:val="13"/>
  </w:num>
  <w:num w:numId="15" w16cid:durableId="1474786616">
    <w:abstractNumId w:val="0"/>
  </w:num>
  <w:num w:numId="16" w16cid:durableId="1933932582">
    <w:abstractNumId w:val="0"/>
  </w:num>
  <w:num w:numId="17" w16cid:durableId="62070288">
    <w:abstractNumId w:val="6"/>
  </w:num>
  <w:num w:numId="18" w16cid:durableId="355470351">
    <w:abstractNumId w:val="15"/>
  </w:num>
  <w:num w:numId="19" w16cid:durableId="1453208673">
    <w:abstractNumId w:val="4"/>
  </w:num>
  <w:num w:numId="20" w16cid:durableId="2108039033">
    <w:abstractNumId w:val="0"/>
  </w:num>
  <w:num w:numId="21" w16cid:durableId="1298492955">
    <w:abstractNumId w:val="0"/>
  </w:num>
  <w:num w:numId="22" w16cid:durableId="99498555">
    <w:abstractNumId w:val="0"/>
  </w:num>
  <w:num w:numId="23" w16cid:durableId="943195345">
    <w:abstractNumId w:val="0"/>
  </w:num>
  <w:num w:numId="24" w16cid:durableId="1392313087">
    <w:abstractNumId w:val="0"/>
  </w:num>
  <w:num w:numId="25" w16cid:durableId="521667074">
    <w:abstractNumId w:val="0"/>
  </w:num>
  <w:num w:numId="26" w16cid:durableId="1260454539">
    <w:abstractNumId w:val="0"/>
  </w:num>
  <w:num w:numId="27" w16cid:durableId="7341266">
    <w:abstractNumId w:val="0"/>
  </w:num>
  <w:num w:numId="28" w16cid:durableId="1475951977">
    <w:abstractNumId w:val="0"/>
  </w:num>
  <w:num w:numId="29" w16cid:durableId="1870678923">
    <w:abstractNumId w:val="0"/>
  </w:num>
  <w:num w:numId="30" w16cid:durableId="511918193">
    <w:abstractNumId w:val="0"/>
  </w:num>
  <w:num w:numId="31" w16cid:durableId="485827184">
    <w:abstractNumId w:val="1"/>
  </w:num>
  <w:num w:numId="32" w16cid:durableId="2131393830">
    <w:abstractNumId w:val="11"/>
  </w:num>
  <w:num w:numId="33" w16cid:durableId="1901205031">
    <w:abstractNumId w:val="5"/>
  </w:num>
  <w:num w:numId="34" w16cid:durableId="1705329645">
    <w:abstractNumId w:val="5"/>
  </w:num>
  <w:num w:numId="35" w16cid:durableId="733623663">
    <w:abstractNumId w:val="12"/>
  </w:num>
  <w:num w:numId="36" w16cid:durableId="1483765948">
    <w:abstractNumId w:val="5"/>
  </w:num>
  <w:num w:numId="37" w16cid:durableId="549612199">
    <w:abstractNumId w:val="10"/>
  </w:num>
  <w:num w:numId="38" w16cid:durableId="2051152170">
    <w:abstractNumId w:val="14"/>
  </w:num>
  <w:num w:numId="39" w16cid:durableId="1655063975">
    <w:abstractNumId w:val="3"/>
  </w:num>
  <w:num w:numId="40" w16cid:durableId="60688064">
    <w:abstractNumId w:val="9"/>
  </w:num>
  <w:num w:numId="41" w16cid:durableId="670529510">
    <w:abstractNumId w:val="2"/>
  </w:num>
  <w:num w:numId="42" w16cid:durableId="801385210">
    <w:abstractNumId w:val="16"/>
  </w:num>
  <w:num w:numId="43" w16cid:durableId="504974870">
    <w:abstractNumId w:val="0"/>
  </w:num>
  <w:num w:numId="44" w16cid:durableId="612784802">
    <w:abstractNumId w:val="0"/>
  </w:num>
  <w:num w:numId="45" w16cid:durableId="1302467135">
    <w:abstractNumId w:val="0"/>
  </w:num>
  <w:num w:numId="46" w16cid:durableId="2122727369">
    <w:abstractNumId w:val="0"/>
  </w:num>
  <w:num w:numId="47" w16cid:durableId="1813404611">
    <w:abstractNumId w:val="0"/>
  </w:num>
  <w:num w:numId="48" w16cid:durableId="1980459132">
    <w:abstractNumId w:val="5"/>
  </w:num>
  <w:num w:numId="49" w16cid:durableId="1696661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2F"/>
    <w:rsid w:val="00000AC0"/>
    <w:rsid w:val="000010AE"/>
    <w:rsid w:val="0000218C"/>
    <w:rsid w:val="0000318D"/>
    <w:rsid w:val="0000376D"/>
    <w:rsid w:val="000039B6"/>
    <w:rsid w:val="00004943"/>
    <w:rsid w:val="000065AF"/>
    <w:rsid w:val="00007B40"/>
    <w:rsid w:val="00010E0F"/>
    <w:rsid w:val="00012F29"/>
    <w:rsid w:val="000137AC"/>
    <w:rsid w:val="0001474E"/>
    <w:rsid w:val="00016F4B"/>
    <w:rsid w:val="00021447"/>
    <w:rsid w:val="00022567"/>
    <w:rsid w:val="00023DBF"/>
    <w:rsid w:val="00026833"/>
    <w:rsid w:val="00031930"/>
    <w:rsid w:val="00031C59"/>
    <w:rsid w:val="00037147"/>
    <w:rsid w:val="00041461"/>
    <w:rsid w:val="0004232A"/>
    <w:rsid w:val="00042AA4"/>
    <w:rsid w:val="00043CA3"/>
    <w:rsid w:val="00044F99"/>
    <w:rsid w:val="00046001"/>
    <w:rsid w:val="00046053"/>
    <w:rsid w:val="000519C6"/>
    <w:rsid w:val="00054DC8"/>
    <w:rsid w:val="000600A4"/>
    <w:rsid w:val="00060C22"/>
    <w:rsid w:val="00061021"/>
    <w:rsid w:val="0006254E"/>
    <w:rsid w:val="00062ADD"/>
    <w:rsid w:val="0006698C"/>
    <w:rsid w:val="00066A63"/>
    <w:rsid w:val="000674FF"/>
    <w:rsid w:val="000707C3"/>
    <w:rsid w:val="00072937"/>
    <w:rsid w:val="0007318C"/>
    <w:rsid w:val="00073710"/>
    <w:rsid w:val="0007424A"/>
    <w:rsid w:val="00074A09"/>
    <w:rsid w:val="000754F7"/>
    <w:rsid w:val="000769BA"/>
    <w:rsid w:val="00076D94"/>
    <w:rsid w:val="00076E30"/>
    <w:rsid w:val="0008188B"/>
    <w:rsid w:val="000826A4"/>
    <w:rsid w:val="00085882"/>
    <w:rsid w:val="00087152"/>
    <w:rsid w:val="000911C0"/>
    <w:rsid w:val="0009226B"/>
    <w:rsid w:val="00093045"/>
    <w:rsid w:val="000949FD"/>
    <w:rsid w:val="000A202A"/>
    <w:rsid w:val="000A3005"/>
    <w:rsid w:val="000B29FD"/>
    <w:rsid w:val="000B3330"/>
    <w:rsid w:val="000B4D69"/>
    <w:rsid w:val="000B71A7"/>
    <w:rsid w:val="000B7BBF"/>
    <w:rsid w:val="000C0125"/>
    <w:rsid w:val="000C133B"/>
    <w:rsid w:val="000C3EA7"/>
    <w:rsid w:val="000C55B0"/>
    <w:rsid w:val="000C7B56"/>
    <w:rsid w:val="000D08DE"/>
    <w:rsid w:val="000D1E30"/>
    <w:rsid w:val="000D3FD2"/>
    <w:rsid w:val="000D48AC"/>
    <w:rsid w:val="000D6CA1"/>
    <w:rsid w:val="000E1F48"/>
    <w:rsid w:val="000E2422"/>
    <w:rsid w:val="000E30DC"/>
    <w:rsid w:val="000F12F3"/>
    <w:rsid w:val="000F22B0"/>
    <w:rsid w:val="000F5270"/>
    <w:rsid w:val="000F59F6"/>
    <w:rsid w:val="000F78A4"/>
    <w:rsid w:val="001011AD"/>
    <w:rsid w:val="0010205A"/>
    <w:rsid w:val="00102E02"/>
    <w:rsid w:val="0010309E"/>
    <w:rsid w:val="0010411D"/>
    <w:rsid w:val="0010446B"/>
    <w:rsid w:val="00104B39"/>
    <w:rsid w:val="00104BB5"/>
    <w:rsid w:val="00104E7F"/>
    <w:rsid w:val="0010564E"/>
    <w:rsid w:val="00105E2C"/>
    <w:rsid w:val="00107183"/>
    <w:rsid w:val="0011195E"/>
    <w:rsid w:val="00114BC7"/>
    <w:rsid w:val="00120521"/>
    <w:rsid w:val="00121DCE"/>
    <w:rsid w:val="00122A2D"/>
    <w:rsid w:val="00124614"/>
    <w:rsid w:val="0012794D"/>
    <w:rsid w:val="00130BCF"/>
    <w:rsid w:val="001316B1"/>
    <w:rsid w:val="001319A6"/>
    <w:rsid w:val="001327ED"/>
    <w:rsid w:val="001335A3"/>
    <w:rsid w:val="00134C1C"/>
    <w:rsid w:val="001415DF"/>
    <w:rsid w:val="00141C5D"/>
    <w:rsid w:val="00141D3F"/>
    <w:rsid w:val="001505F4"/>
    <w:rsid w:val="0015122F"/>
    <w:rsid w:val="00153B3E"/>
    <w:rsid w:val="00153E80"/>
    <w:rsid w:val="00155EF3"/>
    <w:rsid w:val="001571D2"/>
    <w:rsid w:val="00160AAA"/>
    <w:rsid w:val="00162644"/>
    <w:rsid w:val="00163C75"/>
    <w:rsid w:val="00165633"/>
    <w:rsid w:val="00170B54"/>
    <w:rsid w:val="00170E85"/>
    <w:rsid w:val="00175DAD"/>
    <w:rsid w:val="00176503"/>
    <w:rsid w:val="0017719B"/>
    <w:rsid w:val="00177D1A"/>
    <w:rsid w:val="00180822"/>
    <w:rsid w:val="001901C0"/>
    <w:rsid w:val="00190A36"/>
    <w:rsid w:val="00190AEF"/>
    <w:rsid w:val="001910FA"/>
    <w:rsid w:val="0019212B"/>
    <w:rsid w:val="001928BB"/>
    <w:rsid w:val="00197259"/>
    <w:rsid w:val="001A1148"/>
    <w:rsid w:val="001A24A2"/>
    <w:rsid w:val="001A5C2C"/>
    <w:rsid w:val="001A705A"/>
    <w:rsid w:val="001A7124"/>
    <w:rsid w:val="001A7859"/>
    <w:rsid w:val="001B2A5E"/>
    <w:rsid w:val="001B2BB5"/>
    <w:rsid w:val="001B2F58"/>
    <w:rsid w:val="001B31E6"/>
    <w:rsid w:val="001B3CB8"/>
    <w:rsid w:val="001B4305"/>
    <w:rsid w:val="001B4DE4"/>
    <w:rsid w:val="001B69C1"/>
    <w:rsid w:val="001B6CD8"/>
    <w:rsid w:val="001B71D2"/>
    <w:rsid w:val="001C29A4"/>
    <w:rsid w:val="001C5B24"/>
    <w:rsid w:val="001C6284"/>
    <w:rsid w:val="001C6411"/>
    <w:rsid w:val="001C70AF"/>
    <w:rsid w:val="001C7822"/>
    <w:rsid w:val="001D0376"/>
    <w:rsid w:val="001D058A"/>
    <w:rsid w:val="001D1C08"/>
    <w:rsid w:val="001D2CC9"/>
    <w:rsid w:val="001D386B"/>
    <w:rsid w:val="001D39DC"/>
    <w:rsid w:val="001D5783"/>
    <w:rsid w:val="001D6314"/>
    <w:rsid w:val="001D7717"/>
    <w:rsid w:val="001E0A74"/>
    <w:rsid w:val="001E6E20"/>
    <w:rsid w:val="001E7FEB"/>
    <w:rsid w:val="001F0147"/>
    <w:rsid w:val="001F08AD"/>
    <w:rsid w:val="001F08C5"/>
    <w:rsid w:val="001F0E2B"/>
    <w:rsid w:val="001F1AFD"/>
    <w:rsid w:val="001F1B48"/>
    <w:rsid w:val="001F31AA"/>
    <w:rsid w:val="001F326D"/>
    <w:rsid w:val="001F5C5F"/>
    <w:rsid w:val="001F5FE1"/>
    <w:rsid w:val="00207125"/>
    <w:rsid w:val="002134E7"/>
    <w:rsid w:val="00214347"/>
    <w:rsid w:val="0021458F"/>
    <w:rsid w:val="002146E0"/>
    <w:rsid w:val="00215052"/>
    <w:rsid w:val="00222EA9"/>
    <w:rsid w:val="00225B79"/>
    <w:rsid w:val="00226346"/>
    <w:rsid w:val="00227329"/>
    <w:rsid w:val="00231B23"/>
    <w:rsid w:val="00231D5A"/>
    <w:rsid w:val="00232A08"/>
    <w:rsid w:val="00233085"/>
    <w:rsid w:val="00241722"/>
    <w:rsid w:val="0024186B"/>
    <w:rsid w:val="00241946"/>
    <w:rsid w:val="0024194A"/>
    <w:rsid w:val="002423D5"/>
    <w:rsid w:val="00246741"/>
    <w:rsid w:val="002475DC"/>
    <w:rsid w:val="002505A5"/>
    <w:rsid w:val="00250F95"/>
    <w:rsid w:val="00252E75"/>
    <w:rsid w:val="0025342C"/>
    <w:rsid w:val="00253B55"/>
    <w:rsid w:val="00253E3E"/>
    <w:rsid w:val="00255E93"/>
    <w:rsid w:val="00257A3D"/>
    <w:rsid w:val="00257DCC"/>
    <w:rsid w:val="0026109F"/>
    <w:rsid w:val="00262EDD"/>
    <w:rsid w:val="0026300A"/>
    <w:rsid w:val="00263EA8"/>
    <w:rsid w:val="002645FE"/>
    <w:rsid w:val="0026493F"/>
    <w:rsid w:val="00264C39"/>
    <w:rsid w:val="00265CA7"/>
    <w:rsid w:val="00265F70"/>
    <w:rsid w:val="00270214"/>
    <w:rsid w:val="002707D1"/>
    <w:rsid w:val="00271B39"/>
    <w:rsid w:val="002726E9"/>
    <w:rsid w:val="00272BDD"/>
    <w:rsid w:val="00272DFF"/>
    <w:rsid w:val="00272FA0"/>
    <w:rsid w:val="002732CC"/>
    <w:rsid w:val="002755F8"/>
    <w:rsid w:val="00277FAC"/>
    <w:rsid w:val="00280773"/>
    <w:rsid w:val="0028111E"/>
    <w:rsid w:val="002814E8"/>
    <w:rsid w:val="0028491A"/>
    <w:rsid w:val="00285161"/>
    <w:rsid w:val="0028567A"/>
    <w:rsid w:val="0028653D"/>
    <w:rsid w:val="00286CFB"/>
    <w:rsid w:val="00287152"/>
    <w:rsid w:val="002A0276"/>
    <w:rsid w:val="002A03C3"/>
    <w:rsid w:val="002A13DB"/>
    <w:rsid w:val="002A230D"/>
    <w:rsid w:val="002A2C94"/>
    <w:rsid w:val="002A32A8"/>
    <w:rsid w:val="002A35BE"/>
    <w:rsid w:val="002A38C2"/>
    <w:rsid w:val="002A6122"/>
    <w:rsid w:val="002A67A1"/>
    <w:rsid w:val="002B19D8"/>
    <w:rsid w:val="002B2015"/>
    <w:rsid w:val="002B2A80"/>
    <w:rsid w:val="002B401C"/>
    <w:rsid w:val="002B489B"/>
    <w:rsid w:val="002C28EF"/>
    <w:rsid w:val="002C2E0B"/>
    <w:rsid w:val="002C5258"/>
    <w:rsid w:val="002C5AF4"/>
    <w:rsid w:val="002C765A"/>
    <w:rsid w:val="002C7E0B"/>
    <w:rsid w:val="002D0037"/>
    <w:rsid w:val="002D2191"/>
    <w:rsid w:val="002D2479"/>
    <w:rsid w:val="002D51CB"/>
    <w:rsid w:val="002D57BF"/>
    <w:rsid w:val="002D74A3"/>
    <w:rsid w:val="002D7B1F"/>
    <w:rsid w:val="002E1435"/>
    <w:rsid w:val="002E2C58"/>
    <w:rsid w:val="002E44CB"/>
    <w:rsid w:val="002E6FA7"/>
    <w:rsid w:val="002F1D11"/>
    <w:rsid w:val="002F4B4A"/>
    <w:rsid w:val="002F54D0"/>
    <w:rsid w:val="002F61C9"/>
    <w:rsid w:val="00302C41"/>
    <w:rsid w:val="003052C7"/>
    <w:rsid w:val="00305B23"/>
    <w:rsid w:val="0030619E"/>
    <w:rsid w:val="00306A44"/>
    <w:rsid w:val="00310189"/>
    <w:rsid w:val="00313BC5"/>
    <w:rsid w:val="003165B6"/>
    <w:rsid w:val="00321782"/>
    <w:rsid w:val="00322960"/>
    <w:rsid w:val="00322A52"/>
    <w:rsid w:val="00322FFA"/>
    <w:rsid w:val="003230CC"/>
    <w:rsid w:val="00323B74"/>
    <w:rsid w:val="003275FE"/>
    <w:rsid w:val="00330C36"/>
    <w:rsid w:val="00330FF1"/>
    <w:rsid w:val="00332A20"/>
    <w:rsid w:val="00333932"/>
    <w:rsid w:val="00334FC6"/>
    <w:rsid w:val="00335213"/>
    <w:rsid w:val="0033761B"/>
    <w:rsid w:val="00345199"/>
    <w:rsid w:val="00345BF7"/>
    <w:rsid w:val="00345CE5"/>
    <w:rsid w:val="0035051B"/>
    <w:rsid w:val="00350C6F"/>
    <w:rsid w:val="00351312"/>
    <w:rsid w:val="0035154C"/>
    <w:rsid w:val="00351ACE"/>
    <w:rsid w:val="00351B11"/>
    <w:rsid w:val="0035225D"/>
    <w:rsid w:val="00353C10"/>
    <w:rsid w:val="00353F08"/>
    <w:rsid w:val="00353F3A"/>
    <w:rsid w:val="00355922"/>
    <w:rsid w:val="00355E23"/>
    <w:rsid w:val="003568EF"/>
    <w:rsid w:val="00357671"/>
    <w:rsid w:val="00357675"/>
    <w:rsid w:val="003624E8"/>
    <w:rsid w:val="003639C8"/>
    <w:rsid w:val="00364333"/>
    <w:rsid w:val="003643AC"/>
    <w:rsid w:val="003652B4"/>
    <w:rsid w:val="00365F18"/>
    <w:rsid w:val="003661FF"/>
    <w:rsid w:val="00371789"/>
    <w:rsid w:val="003742A6"/>
    <w:rsid w:val="00374D6E"/>
    <w:rsid w:val="00377AAA"/>
    <w:rsid w:val="003807D5"/>
    <w:rsid w:val="00380C3A"/>
    <w:rsid w:val="0038215A"/>
    <w:rsid w:val="00384D7D"/>
    <w:rsid w:val="00385BC5"/>
    <w:rsid w:val="00391FE7"/>
    <w:rsid w:val="00393634"/>
    <w:rsid w:val="00394169"/>
    <w:rsid w:val="003945CD"/>
    <w:rsid w:val="00397B62"/>
    <w:rsid w:val="003A266B"/>
    <w:rsid w:val="003A4AC9"/>
    <w:rsid w:val="003A58E5"/>
    <w:rsid w:val="003A5A5F"/>
    <w:rsid w:val="003A618A"/>
    <w:rsid w:val="003A673A"/>
    <w:rsid w:val="003A7382"/>
    <w:rsid w:val="003B19D7"/>
    <w:rsid w:val="003B1D40"/>
    <w:rsid w:val="003B3097"/>
    <w:rsid w:val="003B6EFC"/>
    <w:rsid w:val="003C09A7"/>
    <w:rsid w:val="003C218C"/>
    <w:rsid w:val="003C235E"/>
    <w:rsid w:val="003C3362"/>
    <w:rsid w:val="003C3C84"/>
    <w:rsid w:val="003C3CAB"/>
    <w:rsid w:val="003C401A"/>
    <w:rsid w:val="003C6BDF"/>
    <w:rsid w:val="003C6F6A"/>
    <w:rsid w:val="003D1895"/>
    <w:rsid w:val="003D22E6"/>
    <w:rsid w:val="003D28F0"/>
    <w:rsid w:val="003D3973"/>
    <w:rsid w:val="003E075F"/>
    <w:rsid w:val="003E2242"/>
    <w:rsid w:val="003E2992"/>
    <w:rsid w:val="003E2E2F"/>
    <w:rsid w:val="003E7F58"/>
    <w:rsid w:val="003F1A81"/>
    <w:rsid w:val="003F1E1E"/>
    <w:rsid w:val="003F26A2"/>
    <w:rsid w:val="003F3CC4"/>
    <w:rsid w:val="003F40C7"/>
    <w:rsid w:val="003F5473"/>
    <w:rsid w:val="003F71FC"/>
    <w:rsid w:val="0040204F"/>
    <w:rsid w:val="004022B8"/>
    <w:rsid w:val="004062E5"/>
    <w:rsid w:val="00407224"/>
    <w:rsid w:val="00410C24"/>
    <w:rsid w:val="00412673"/>
    <w:rsid w:val="00412F4B"/>
    <w:rsid w:val="00414098"/>
    <w:rsid w:val="00416BB6"/>
    <w:rsid w:val="004238B5"/>
    <w:rsid w:val="004249C9"/>
    <w:rsid w:val="00430E36"/>
    <w:rsid w:val="00430EB5"/>
    <w:rsid w:val="004311D5"/>
    <w:rsid w:val="004365F2"/>
    <w:rsid w:val="0043785B"/>
    <w:rsid w:val="00441FC7"/>
    <w:rsid w:val="00442E73"/>
    <w:rsid w:val="004437C0"/>
    <w:rsid w:val="0044480E"/>
    <w:rsid w:val="0044790C"/>
    <w:rsid w:val="00447E6D"/>
    <w:rsid w:val="00450117"/>
    <w:rsid w:val="0045392D"/>
    <w:rsid w:val="00454311"/>
    <w:rsid w:val="00455B95"/>
    <w:rsid w:val="00456637"/>
    <w:rsid w:val="00460E78"/>
    <w:rsid w:val="00461028"/>
    <w:rsid w:val="00461C93"/>
    <w:rsid w:val="00462E64"/>
    <w:rsid w:val="004653E7"/>
    <w:rsid w:val="00465CC0"/>
    <w:rsid w:val="00466BA9"/>
    <w:rsid w:val="00474E62"/>
    <w:rsid w:val="0047616B"/>
    <w:rsid w:val="0047661E"/>
    <w:rsid w:val="004770CF"/>
    <w:rsid w:val="00477A8F"/>
    <w:rsid w:val="00483E45"/>
    <w:rsid w:val="00487684"/>
    <w:rsid w:val="0049171F"/>
    <w:rsid w:val="00491F8E"/>
    <w:rsid w:val="004930D2"/>
    <w:rsid w:val="004932F8"/>
    <w:rsid w:val="00497835"/>
    <w:rsid w:val="004A33E2"/>
    <w:rsid w:val="004A352F"/>
    <w:rsid w:val="004A608B"/>
    <w:rsid w:val="004A7C00"/>
    <w:rsid w:val="004B0682"/>
    <w:rsid w:val="004B2983"/>
    <w:rsid w:val="004B2B66"/>
    <w:rsid w:val="004B4D29"/>
    <w:rsid w:val="004B6BC1"/>
    <w:rsid w:val="004C066D"/>
    <w:rsid w:val="004C0DE8"/>
    <w:rsid w:val="004C29D7"/>
    <w:rsid w:val="004C5D20"/>
    <w:rsid w:val="004C6304"/>
    <w:rsid w:val="004C6376"/>
    <w:rsid w:val="004C63FD"/>
    <w:rsid w:val="004C690C"/>
    <w:rsid w:val="004C6E63"/>
    <w:rsid w:val="004C76A9"/>
    <w:rsid w:val="004C7994"/>
    <w:rsid w:val="004C7E9A"/>
    <w:rsid w:val="004D0A99"/>
    <w:rsid w:val="004D16C6"/>
    <w:rsid w:val="004D28BB"/>
    <w:rsid w:val="004D2CC8"/>
    <w:rsid w:val="004D7E56"/>
    <w:rsid w:val="004D7ED9"/>
    <w:rsid w:val="004E16B6"/>
    <w:rsid w:val="004E2CED"/>
    <w:rsid w:val="004E3D90"/>
    <w:rsid w:val="004E5399"/>
    <w:rsid w:val="004E5683"/>
    <w:rsid w:val="004F23C9"/>
    <w:rsid w:val="004F4E9D"/>
    <w:rsid w:val="004F7012"/>
    <w:rsid w:val="004F7C71"/>
    <w:rsid w:val="0050030C"/>
    <w:rsid w:val="00503600"/>
    <w:rsid w:val="005039A1"/>
    <w:rsid w:val="00503A5C"/>
    <w:rsid w:val="0050446F"/>
    <w:rsid w:val="005050DC"/>
    <w:rsid w:val="00506F9F"/>
    <w:rsid w:val="005075D0"/>
    <w:rsid w:val="00507BE1"/>
    <w:rsid w:val="00512999"/>
    <w:rsid w:val="00513DDF"/>
    <w:rsid w:val="00515DAF"/>
    <w:rsid w:val="00516C75"/>
    <w:rsid w:val="00520CE4"/>
    <w:rsid w:val="00521F38"/>
    <w:rsid w:val="00522908"/>
    <w:rsid w:val="005239F9"/>
    <w:rsid w:val="00523BBA"/>
    <w:rsid w:val="00524D85"/>
    <w:rsid w:val="00525705"/>
    <w:rsid w:val="0052616A"/>
    <w:rsid w:val="0052666A"/>
    <w:rsid w:val="00530448"/>
    <w:rsid w:val="0053368B"/>
    <w:rsid w:val="00533FB1"/>
    <w:rsid w:val="005352DD"/>
    <w:rsid w:val="0054055C"/>
    <w:rsid w:val="00543F77"/>
    <w:rsid w:val="005462A1"/>
    <w:rsid w:val="00550CFE"/>
    <w:rsid w:val="00550D8D"/>
    <w:rsid w:val="005520FE"/>
    <w:rsid w:val="00552A71"/>
    <w:rsid w:val="00554DCD"/>
    <w:rsid w:val="00556EC7"/>
    <w:rsid w:val="005602CC"/>
    <w:rsid w:val="00561622"/>
    <w:rsid w:val="00562BEC"/>
    <w:rsid w:val="00571E6D"/>
    <w:rsid w:val="00572708"/>
    <w:rsid w:val="0057314C"/>
    <w:rsid w:val="005731D0"/>
    <w:rsid w:val="00573663"/>
    <w:rsid w:val="00575012"/>
    <w:rsid w:val="005756B4"/>
    <w:rsid w:val="005764C7"/>
    <w:rsid w:val="0057654C"/>
    <w:rsid w:val="00576801"/>
    <w:rsid w:val="00577011"/>
    <w:rsid w:val="00577957"/>
    <w:rsid w:val="00580074"/>
    <w:rsid w:val="005800B0"/>
    <w:rsid w:val="00582C59"/>
    <w:rsid w:val="00584777"/>
    <w:rsid w:val="00586D8B"/>
    <w:rsid w:val="0058761F"/>
    <w:rsid w:val="0059046A"/>
    <w:rsid w:val="00590613"/>
    <w:rsid w:val="00591B04"/>
    <w:rsid w:val="00591E82"/>
    <w:rsid w:val="00596183"/>
    <w:rsid w:val="00596F03"/>
    <w:rsid w:val="005970C8"/>
    <w:rsid w:val="005A08FE"/>
    <w:rsid w:val="005A26B5"/>
    <w:rsid w:val="005B027F"/>
    <w:rsid w:val="005B118A"/>
    <w:rsid w:val="005B2DF6"/>
    <w:rsid w:val="005B31D6"/>
    <w:rsid w:val="005B3395"/>
    <w:rsid w:val="005B5F32"/>
    <w:rsid w:val="005B6471"/>
    <w:rsid w:val="005C10B1"/>
    <w:rsid w:val="005C28B5"/>
    <w:rsid w:val="005C3DCA"/>
    <w:rsid w:val="005C4983"/>
    <w:rsid w:val="005C5C13"/>
    <w:rsid w:val="005C7500"/>
    <w:rsid w:val="005D07F8"/>
    <w:rsid w:val="005D246A"/>
    <w:rsid w:val="005D2670"/>
    <w:rsid w:val="005D2674"/>
    <w:rsid w:val="005D77DA"/>
    <w:rsid w:val="005E0653"/>
    <w:rsid w:val="005E2A9F"/>
    <w:rsid w:val="005E2ECE"/>
    <w:rsid w:val="005E4D79"/>
    <w:rsid w:val="005E670E"/>
    <w:rsid w:val="005E719B"/>
    <w:rsid w:val="005F4642"/>
    <w:rsid w:val="005F46EA"/>
    <w:rsid w:val="005F667E"/>
    <w:rsid w:val="005F7ED2"/>
    <w:rsid w:val="006016D0"/>
    <w:rsid w:val="00602077"/>
    <w:rsid w:val="0060382E"/>
    <w:rsid w:val="00603D5F"/>
    <w:rsid w:val="00604B2E"/>
    <w:rsid w:val="006062BF"/>
    <w:rsid w:val="006064AD"/>
    <w:rsid w:val="00607592"/>
    <w:rsid w:val="00607CA1"/>
    <w:rsid w:val="00610D59"/>
    <w:rsid w:val="006112FD"/>
    <w:rsid w:val="00613547"/>
    <w:rsid w:val="00616A1E"/>
    <w:rsid w:val="006271B3"/>
    <w:rsid w:val="00627DCF"/>
    <w:rsid w:val="00630F20"/>
    <w:rsid w:val="00630F7B"/>
    <w:rsid w:val="006358E8"/>
    <w:rsid w:val="00635E29"/>
    <w:rsid w:val="00636B45"/>
    <w:rsid w:val="00636C40"/>
    <w:rsid w:val="00636FAF"/>
    <w:rsid w:val="00643EA1"/>
    <w:rsid w:val="006444AB"/>
    <w:rsid w:val="006447EE"/>
    <w:rsid w:val="006448BC"/>
    <w:rsid w:val="0064740C"/>
    <w:rsid w:val="0064761B"/>
    <w:rsid w:val="00650052"/>
    <w:rsid w:val="00650955"/>
    <w:rsid w:val="00651EA4"/>
    <w:rsid w:val="0065255E"/>
    <w:rsid w:val="006537D3"/>
    <w:rsid w:val="00654C7F"/>
    <w:rsid w:val="00654D01"/>
    <w:rsid w:val="0065780B"/>
    <w:rsid w:val="00657FC6"/>
    <w:rsid w:val="00660301"/>
    <w:rsid w:val="00661949"/>
    <w:rsid w:val="006627D6"/>
    <w:rsid w:val="00662C32"/>
    <w:rsid w:val="00662F88"/>
    <w:rsid w:val="006630F3"/>
    <w:rsid w:val="00667B4C"/>
    <w:rsid w:val="00667C4B"/>
    <w:rsid w:val="00670918"/>
    <w:rsid w:val="00670A43"/>
    <w:rsid w:val="0067196F"/>
    <w:rsid w:val="0067337C"/>
    <w:rsid w:val="00674CE7"/>
    <w:rsid w:val="00675C18"/>
    <w:rsid w:val="0068180B"/>
    <w:rsid w:val="00681A85"/>
    <w:rsid w:val="00682055"/>
    <w:rsid w:val="00683622"/>
    <w:rsid w:val="006867F5"/>
    <w:rsid w:val="00694F19"/>
    <w:rsid w:val="00696F32"/>
    <w:rsid w:val="006A0C8C"/>
    <w:rsid w:val="006A0F9B"/>
    <w:rsid w:val="006A17E7"/>
    <w:rsid w:val="006A4241"/>
    <w:rsid w:val="006A4388"/>
    <w:rsid w:val="006A4B1C"/>
    <w:rsid w:val="006A6F34"/>
    <w:rsid w:val="006A7A37"/>
    <w:rsid w:val="006A7EAC"/>
    <w:rsid w:val="006B0392"/>
    <w:rsid w:val="006B135B"/>
    <w:rsid w:val="006B2E7E"/>
    <w:rsid w:val="006B4CD8"/>
    <w:rsid w:val="006B5F59"/>
    <w:rsid w:val="006B6041"/>
    <w:rsid w:val="006B6E49"/>
    <w:rsid w:val="006C0493"/>
    <w:rsid w:val="006C21D0"/>
    <w:rsid w:val="006C25AE"/>
    <w:rsid w:val="006C286C"/>
    <w:rsid w:val="006C52B0"/>
    <w:rsid w:val="006C5CB9"/>
    <w:rsid w:val="006C5D2E"/>
    <w:rsid w:val="006C739A"/>
    <w:rsid w:val="006D2635"/>
    <w:rsid w:val="006D338E"/>
    <w:rsid w:val="006D6931"/>
    <w:rsid w:val="006E0042"/>
    <w:rsid w:val="006E1ED3"/>
    <w:rsid w:val="006E3AA3"/>
    <w:rsid w:val="006E66D7"/>
    <w:rsid w:val="006E68E2"/>
    <w:rsid w:val="006E7B9F"/>
    <w:rsid w:val="006F03AD"/>
    <w:rsid w:val="006F2145"/>
    <w:rsid w:val="006F26A1"/>
    <w:rsid w:val="006F3109"/>
    <w:rsid w:val="006F4742"/>
    <w:rsid w:val="006F52E9"/>
    <w:rsid w:val="006F5ADA"/>
    <w:rsid w:val="0070112D"/>
    <w:rsid w:val="00702624"/>
    <w:rsid w:val="007026D4"/>
    <w:rsid w:val="00702DA7"/>
    <w:rsid w:val="00703186"/>
    <w:rsid w:val="00703B99"/>
    <w:rsid w:val="007076C4"/>
    <w:rsid w:val="0071076C"/>
    <w:rsid w:val="00710AB4"/>
    <w:rsid w:val="007138F6"/>
    <w:rsid w:val="00721D3E"/>
    <w:rsid w:val="0073095C"/>
    <w:rsid w:val="007312A9"/>
    <w:rsid w:val="00731318"/>
    <w:rsid w:val="00732EF3"/>
    <w:rsid w:val="007343F2"/>
    <w:rsid w:val="007364EC"/>
    <w:rsid w:val="00736CF1"/>
    <w:rsid w:val="00741E7C"/>
    <w:rsid w:val="00743084"/>
    <w:rsid w:val="00745CC6"/>
    <w:rsid w:val="00750542"/>
    <w:rsid w:val="00750C84"/>
    <w:rsid w:val="00752384"/>
    <w:rsid w:val="00753489"/>
    <w:rsid w:val="0075384B"/>
    <w:rsid w:val="00753D5D"/>
    <w:rsid w:val="007557BD"/>
    <w:rsid w:val="00755840"/>
    <w:rsid w:val="00756FB6"/>
    <w:rsid w:val="007570D4"/>
    <w:rsid w:val="007601C7"/>
    <w:rsid w:val="00761FB1"/>
    <w:rsid w:val="007638F3"/>
    <w:rsid w:val="007644CB"/>
    <w:rsid w:val="007646D6"/>
    <w:rsid w:val="00770056"/>
    <w:rsid w:val="007706B1"/>
    <w:rsid w:val="007717F8"/>
    <w:rsid w:val="007726A0"/>
    <w:rsid w:val="0077293F"/>
    <w:rsid w:val="007739E6"/>
    <w:rsid w:val="00776057"/>
    <w:rsid w:val="00776890"/>
    <w:rsid w:val="0077727E"/>
    <w:rsid w:val="00782558"/>
    <w:rsid w:val="007826FF"/>
    <w:rsid w:val="00784F87"/>
    <w:rsid w:val="00787160"/>
    <w:rsid w:val="00787578"/>
    <w:rsid w:val="00787606"/>
    <w:rsid w:val="007903F2"/>
    <w:rsid w:val="00790C28"/>
    <w:rsid w:val="007919B6"/>
    <w:rsid w:val="00791DCB"/>
    <w:rsid w:val="007A3B45"/>
    <w:rsid w:val="007A449E"/>
    <w:rsid w:val="007B20FA"/>
    <w:rsid w:val="007B2931"/>
    <w:rsid w:val="007B355D"/>
    <w:rsid w:val="007B4093"/>
    <w:rsid w:val="007B590D"/>
    <w:rsid w:val="007C1498"/>
    <w:rsid w:val="007C1A7A"/>
    <w:rsid w:val="007C26FC"/>
    <w:rsid w:val="007C2D25"/>
    <w:rsid w:val="007C3616"/>
    <w:rsid w:val="007C4435"/>
    <w:rsid w:val="007C447B"/>
    <w:rsid w:val="007C4804"/>
    <w:rsid w:val="007C52C5"/>
    <w:rsid w:val="007C66E4"/>
    <w:rsid w:val="007C729B"/>
    <w:rsid w:val="007D091A"/>
    <w:rsid w:val="007D0D2A"/>
    <w:rsid w:val="007D0F5A"/>
    <w:rsid w:val="007D1B00"/>
    <w:rsid w:val="007D2761"/>
    <w:rsid w:val="007D34F2"/>
    <w:rsid w:val="007D373C"/>
    <w:rsid w:val="007D3B01"/>
    <w:rsid w:val="007D6EF7"/>
    <w:rsid w:val="007D7ECB"/>
    <w:rsid w:val="007E1298"/>
    <w:rsid w:val="007E1652"/>
    <w:rsid w:val="007E7E91"/>
    <w:rsid w:val="007F0689"/>
    <w:rsid w:val="007F0FA7"/>
    <w:rsid w:val="007F1EFB"/>
    <w:rsid w:val="007F20C2"/>
    <w:rsid w:val="007F3A71"/>
    <w:rsid w:val="007F3ABE"/>
    <w:rsid w:val="007F53D7"/>
    <w:rsid w:val="007F756D"/>
    <w:rsid w:val="007F7F95"/>
    <w:rsid w:val="00800EF4"/>
    <w:rsid w:val="00805777"/>
    <w:rsid w:val="00810478"/>
    <w:rsid w:val="0081167A"/>
    <w:rsid w:val="008129E0"/>
    <w:rsid w:val="008149D8"/>
    <w:rsid w:val="008215B9"/>
    <w:rsid w:val="00823B19"/>
    <w:rsid w:val="0082597B"/>
    <w:rsid w:val="00825BB2"/>
    <w:rsid w:val="00831469"/>
    <w:rsid w:val="00832739"/>
    <w:rsid w:val="00834D13"/>
    <w:rsid w:val="008359CC"/>
    <w:rsid w:val="0084147C"/>
    <w:rsid w:val="008419EC"/>
    <w:rsid w:val="00843401"/>
    <w:rsid w:val="0084404E"/>
    <w:rsid w:val="00845194"/>
    <w:rsid w:val="0084577C"/>
    <w:rsid w:val="00846286"/>
    <w:rsid w:val="00846B6D"/>
    <w:rsid w:val="00853450"/>
    <w:rsid w:val="00853F0D"/>
    <w:rsid w:val="008548C9"/>
    <w:rsid w:val="008564A8"/>
    <w:rsid w:val="008577BB"/>
    <w:rsid w:val="008577D7"/>
    <w:rsid w:val="00864011"/>
    <w:rsid w:val="008650AE"/>
    <w:rsid w:val="008678D0"/>
    <w:rsid w:val="00872AB8"/>
    <w:rsid w:val="00877F04"/>
    <w:rsid w:val="00881B86"/>
    <w:rsid w:val="00882EFA"/>
    <w:rsid w:val="00887B52"/>
    <w:rsid w:val="008908F2"/>
    <w:rsid w:val="00892C3A"/>
    <w:rsid w:val="00893027"/>
    <w:rsid w:val="00895D39"/>
    <w:rsid w:val="00896373"/>
    <w:rsid w:val="00896F09"/>
    <w:rsid w:val="008970BA"/>
    <w:rsid w:val="00897121"/>
    <w:rsid w:val="008A14AA"/>
    <w:rsid w:val="008A2C49"/>
    <w:rsid w:val="008A2DE9"/>
    <w:rsid w:val="008A5360"/>
    <w:rsid w:val="008A717B"/>
    <w:rsid w:val="008B00E0"/>
    <w:rsid w:val="008B0516"/>
    <w:rsid w:val="008B06EE"/>
    <w:rsid w:val="008B7D2F"/>
    <w:rsid w:val="008C19C0"/>
    <w:rsid w:val="008C21C1"/>
    <w:rsid w:val="008C362E"/>
    <w:rsid w:val="008C4B3D"/>
    <w:rsid w:val="008C55A2"/>
    <w:rsid w:val="008D0454"/>
    <w:rsid w:val="008D30B7"/>
    <w:rsid w:val="008D5267"/>
    <w:rsid w:val="008D6430"/>
    <w:rsid w:val="008D6C2D"/>
    <w:rsid w:val="008D6D4C"/>
    <w:rsid w:val="008E3493"/>
    <w:rsid w:val="008E38F8"/>
    <w:rsid w:val="008E52A4"/>
    <w:rsid w:val="008E7CA8"/>
    <w:rsid w:val="008F0669"/>
    <w:rsid w:val="008F12BB"/>
    <w:rsid w:val="008F5F8A"/>
    <w:rsid w:val="008F7BAD"/>
    <w:rsid w:val="0090041A"/>
    <w:rsid w:val="009040CE"/>
    <w:rsid w:val="00904E6E"/>
    <w:rsid w:val="0091159E"/>
    <w:rsid w:val="009115A7"/>
    <w:rsid w:val="0091183F"/>
    <w:rsid w:val="00911C35"/>
    <w:rsid w:val="009125D5"/>
    <w:rsid w:val="00914444"/>
    <w:rsid w:val="0091588F"/>
    <w:rsid w:val="0091658F"/>
    <w:rsid w:val="00917622"/>
    <w:rsid w:val="00921F65"/>
    <w:rsid w:val="00922DF7"/>
    <w:rsid w:val="00922FDB"/>
    <w:rsid w:val="00925DBA"/>
    <w:rsid w:val="00930347"/>
    <w:rsid w:val="009320C2"/>
    <w:rsid w:val="00932567"/>
    <w:rsid w:val="00933813"/>
    <w:rsid w:val="0093466E"/>
    <w:rsid w:val="009361F4"/>
    <w:rsid w:val="0093622D"/>
    <w:rsid w:val="009362E9"/>
    <w:rsid w:val="00936A82"/>
    <w:rsid w:val="00936FE2"/>
    <w:rsid w:val="00937AEC"/>
    <w:rsid w:val="00943E18"/>
    <w:rsid w:val="009456E8"/>
    <w:rsid w:val="00947332"/>
    <w:rsid w:val="00947776"/>
    <w:rsid w:val="00947A36"/>
    <w:rsid w:val="0095039A"/>
    <w:rsid w:val="00950536"/>
    <w:rsid w:val="00952CB6"/>
    <w:rsid w:val="0095308D"/>
    <w:rsid w:val="00954187"/>
    <w:rsid w:val="00954BE2"/>
    <w:rsid w:val="0095541C"/>
    <w:rsid w:val="009568F6"/>
    <w:rsid w:val="00956C76"/>
    <w:rsid w:val="00956EE8"/>
    <w:rsid w:val="00956FE0"/>
    <w:rsid w:val="00960DC9"/>
    <w:rsid w:val="00962E8B"/>
    <w:rsid w:val="00962F99"/>
    <w:rsid w:val="00963BD4"/>
    <w:rsid w:val="009660CA"/>
    <w:rsid w:val="00966658"/>
    <w:rsid w:val="00967419"/>
    <w:rsid w:val="00972A86"/>
    <w:rsid w:val="00975659"/>
    <w:rsid w:val="00976184"/>
    <w:rsid w:val="00976E63"/>
    <w:rsid w:val="00977434"/>
    <w:rsid w:val="00977756"/>
    <w:rsid w:val="00977EAA"/>
    <w:rsid w:val="00977F5E"/>
    <w:rsid w:val="00980718"/>
    <w:rsid w:val="00981F05"/>
    <w:rsid w:val="0098295F"/>
    <w:rsid w:val="00984402"/>
    <w:rsid w:val="00987B6C"/>
    <w:rsid w:val="00996FA1"/>
    <w:rsid w:val="009973FE"/>
    <w:rsid w:val="009A1960"/>
    <w:rsid w:val="009A1ABF"/>
    <w:rsid w:val="009A29A9"/>
    <w:rsid w:val="009A4C1A"/>
    <w:rsid w:val="009B20C9"/>
    <w:rsid w:val="009B388D"/>
    <w:rsid w:val="009B458D"/>
    <w:rsid w:val="009B54F0"/>
    <w:rsid w:val="009B7B5B"/>
    <w:rsid w:val="009C0CB7"/>
    <w:rsid w:val="009C2455"/>
    <w:rsid w:val="009C2FCB"/>
    <w:rsid w:val="009C3989"/>
    <w:rsid w:val="009C73E5"/>
    <w:rsid w:val="009D16A5"/>
    <w:rsid w:val="009E2A04"/>
    <w:rsid w:val="009E2E8A"/>
    <w:rsid w:val="009E6A38"/>
    <w:rsid w:val="009E7805"/>
    <w:rsid w:val="009E784A"/>
    <w:rsid w:val="009F0147"/>
    <w:rsid w:val="009F0C66"/>
    <w:rsid w:val="009F0E60"/>
    <w:rsid w:val="009F3DDF"/>
    <w:rsid w:val="009F4696"/>
    <w:rsid w:val="009F4F8A"/>
    <w:rsid w:val="009F5112"/>
    <w:rsid w:val="009F54DC"/>
    <w:rsid w:val="009F56B7"/>
    <w:rsid w:val="009F65EA"/>
    <w:rsid w:val="00A002A5"/>
    <w:rsid w:val="00A01A52"/>
    <w:rsid w:val="00A05B97"/>
    <w:rsid w:val="00A06281"/>
    <w:rsid w:val="00A11135"/>
    <w:rsid w:val="00A15DD0"/>
    <w:rsid w:val="00A17CA2"/>
    <w:rsid w:val="00A17D76"/>
    <w:rsid w:val="00A20A5C"/>
    <w:rsid w:val="00A226AF"/>
    <w:rsid w:val="00A2292C"/>
    <w:rsid w:val="00A23861"/>
    <w:rsid w:val="00A24584"/>
    <w:rsid w:val="00A25C44"/>
    <w:rsid w:val="00A271E5"/>
    <w:rsid w:val="00A340E7"/>
    <w:rsid w:val="00A41164"/>
    <w:rsid w:val="00A41CB2"/>
    <w:rsid w:val="00A43F18"/>
    <w:rsid w:val="00A4569C"/>
    <w:rsid w:val="00A50A02"/>
    <w:rsid w:val="00A5298B"/>
    <w:rsid w:val="00A54AC8"/>
    <w:rsid w:val="00A56035"/>
    <w:rsid w:val="00A63788"/>
    <w:rsid w:val="00A656EF"/>
    <w:rsid w:val="00A66536"/>
    <w:rsid w:val="00A70036"/>
    <w:rsid w:val="00A71882"/>
    <w:rsid w:val="00A81DCB"/>
    <w:rsid w:val="00A84010"/>
    <w:rsid w:val="00A8606C"/>
    <w:rsid w:val="00A863A9"/>
    <w:rsid w:val="00A865E4"/>
    <w:rsid w:val="00A86B4A"/>
    <w:rsid w:val="00A873F7"/>
    <w:rsid w:val="00A877A6"/>
    <w:rsid w:val="00A87FB8"/>
    <w:rsid w:val="00A903A3"/>
    <w:rsid w:val="00A920A8"/>
    <w:rsid w:val="00A92CB9"/>
    <w:rsid w:val="00A930F2"/>
    <w:rsid w:val="00A9490D"/>
    <w:rsid w:val="00A96145"/>
    <w:rsid w:val="00A96757"/>
    <w:rsid w:val="00A967C4"/>
    <w:rsid w:val="00A9752A"/>
    <w:rsid w:val="00AA04A1"/>
    <w:rsid w:val="00AA5D7E"/>
    <w:rsid w:val="00AA651C"/>
    <w:rsid w:val="00AA7F17"/>
    <w:rsid w:val="00AB349C"/>
    <w:rsid w:val="00AB3BA3"/>
    <w:rsid w:val="00AB6594"/>
    <w:rsid w:val="00AB65C7"/>
    <w:rsid w:val="00AB75B6"/>
    <w:rsid w:val="00AC065F"/>
    <w:rsid w:val="00AC3FEE"/>
    <w:rsid w:val="00AC551A"/>
    <w:rsid w:val="00AC7433"/>
    <w:rsid w:val="00AC7ABF"/>
    <w:rsid w:val="00AC7BC1"/>
    <w:rsid w:val="00AD02D1"/>
    <w:rsid w:val="00AD041A"/>
    <w:rsid w:val="00AD1F36"/>
    <w:rsid w:val="00AD1F8F"/>
    <w:rsid w:val="00AD3138"/>
    <w:rsid w:val="00AD4BDE"/>
    <w:rsid w:val="00AD76AB"/>
    <w:rsid w:val="00AE013C"/>
    <w:rsid w:val="00AE029E"/>
    <w:rsid w:val="00AE1423"/>
    <w:rsid w:val="00AE1B67"/>
    <w:rsid w:val="00AE3C96"/>
    <w:rsid w:val="00AF2F5B"/>
    <w:rsid w:val="00AF37B1"/>
    <w:rsid w:val="00AF4539"/>
    <w:rsid w:val="00AF783D"/>
    <w:rsid w:val="00B018F9"/>
    <w:rsid w:val="00B01F31"/>
    <w:rsid w:val="00B0269B"/>
    <w:rsid w:val="00B02D8F"/>
    <w:rsid w:val="00B04554"/>
    <w:rsid w:val="00B05009"/>
    <w:rsid w:val="00B058E6"/>
    <w:rsid w:val="00B05CFA"/>
    <w:rsid w:val="00B06541"/>
    <w:rsid w:val="00B078BF"/>
    <w:rsid w:val="00B07DEA"/>
    <w:rsid w:val="00B13095"/>
    <w:rsid w:val="00B14DE1"/>
    <w:rsid w:val="00B157B5"/>
    <w:rsid w:val="00B177C3"/>
    <w:rsid w:val="00B17DB8"/>
    <w:rsid w:val="00B2201C"/>
    <w:rsid w:val="00B23811"/>
    <w:rsid w:val="00B246AF"/>
    <w:rsid w:val="00B251B7"/>
    <w:rsid w:val="00B27278"/>
    <w:rsid w:val="00B279B9"/>
    <w:rsid w:val="00B30013"/>
    <w:rsid w:val="00B30CDB"/>
    <w:rsid w:val="00B31541"/>
    <w:rsid w:val="00B326AA"/>
    <w:rsid w:val="00B34DC4"/>
    <w:rsid w:val="00B364A8"/>
    <w:rsid w:val="00B47BB9"/>
    <w:rsid w:val="00B5572D"/>
    <w:rsid w:val="00B57ECB"/>
    <w:rsid w:val="00B60EE7"/>
    <w:rsid w:val="00B61548"/>
    <w:rsid w:val="00B61CF2"/>
    <w:rsid w:val="00B634C4"/>
    <w:rsid w:val="00B63D86"/>
    <w:rsid w:val="00B64DC6"/>
    <w:rsid w:val="00B65D2B"/>
    <w:rsid w:val="00B6638A"/>
    <w:rsid w:val="00B66F68"/>
    <w:rsid w:val="00B70984"/>
    <w:rsid w:val="00B7208B"/>
    <w:rsid w:val="00B73FC9"/>
    <w:rsid w:val="00B74E3F"/>
    <w:rsid w:val="00B76347"/>
    <w:rsid w:val="00B77269"/>
    <w:rsid w:val="00B805B8"/>
    <w:rsid w:val="00B82415"/>
    <w:rsid w:val="00B83312"/>
    <w:rsid w:val="00B8593F"/>
    <w:rsid w:val="00B87D28"/>
    <w:rsid w:val="00B9065B"/>
    <w:rsid w:val="00B92C3F"/>
    <w:rsid w:val="00BA0658"/>
    <w:rsid w:val="00BB1564"/>
    <w:rsid w:val="00BB3A44"/>
    <w:rsid w:val="00BB554D"/>
    <w:rsid w:val="00BB6C3D"/>
    <w:rsid w:val="00BB6F41"/>
    <w:rsid w:val="00BC0FB7"/>
    <w:rsid w:val="00BC4CB7"/>
    <w:rsid w:val="00BC4D66"/>
    <w:rsid w:val="00BD0191"/>
    <w:rsid w:val="00BD0992"/>
    <w:rsid w:val="00BD1F3B"/>
    <w:rsid w:val="00BD2264"/>
    <w:rsid w:val="00BD298A"/>
    <w:rsid w:val="00BD2EA3"/>
    <w:rsid w:val="00BD2FE7"/>
    <w:rsid w:val="00BD450C"/>
    <w:rsid w:val="00BD5EE2"/>
    <w:rsid w:val="00BD6762"/>
    <w:rsid w:val="00BE1469"/>
    <w:rsid w:val="00BE4E2C"/>
    <w:rsid w:val="00BE53FE"/>
    <w:rsid w:val="00BE5C64"/>
    <w:rsid w:val="00BE6C58"/>
    <w:rsid w:val="00BE7693"/>
    <w:rsid w:val="00BF02F6"/>
    <w:rsid w:val="00BF0A54"/>
    <w:rsid w:val="00BF2AA8"/>
    <w:rsid w:val="00BF38BC"/>
    <w:rsid w:val="00BF49D4"/>
    <w:rsid w:val="00BF6136"/>
    <w:rsid w:val="00C02608"/>
    <w:rsid w:val="00C03697"/>
    <w:rsid w:val="00C04C12"/>
    <w:rsid w:val="00C06194"/>
    <w:rsid w:val="00C06B6E"/>
    <w:rsid w:val="00C07470"/>
    <w:rsid w:val="00C07E26"/>
    <w:rsid w:val="00C10710"/>
    <w:rsid w:val="00C11558"/>
    <w:rsid w:val="00C121B0"/>
    <w:rsid w:val="00C13160"/>
    <w:rsid w:val="00C14CDF"/>
    <w:rsid w:val="00C22F31"/>
    <w:rsid w:val="00C243B4"/>
    <w:rsid w:val="00C24788"/>
    <w:rsid w:val="00C25BD2"/>
    <w:rsid w:val="00C27AD5"/>
    <w:rsid w:val="00C30473"/>
    <w:rsid w:val="00C31103"/>
    <w:rsid w:val="00C31212"/>
    <w:rsid w:val="00C3368D"/>
    <w:rsid w:val="00C356ED"/>
    <w:rsid w:val="00C3622B"/>
    <w:rsid w:val="00C41A1F"/>
    <w:rsid w:val="00C4449C"/>
    <w:rsid w:val="00C46FA3"/>
    <w:rsid w:val="00C50099"/>
    <w:rsid w:val="00C5665F"/>
    <w:rsid w:val="00C569A7"/>
    <w:rsid w:val="00C57666"/>
    <w:rsid w:val="00C61004"/>
    <w:rsid w:val="00C61D98"/>
    <w:rsid w:val="00C622E6"/>
    <w:rsid w:val="00C62AAD"/>
    <w:rsid w:val="00C6352E"/>
    <w:rsid w:val="00C7170B"/>
    <w:rsid w:val="00C7265C"/>
    <w:rsid w:val="00C72FB6"/>
    <w:rsid w:val="00C74398"/>
    <w:rsid w:val="00C80930"/>
    <w:rsid w:val="00C809B0"/>
    <w:rsid w:val="00C81737"/>
    <w:rsid w:val="00C84678"/>
    <w:rsid w:val="00C8539F"/>
    <w:rsid w:val="00C853FA"/>
    <w:rsid w:val="00C87328"/>
    <w:rsid w:val="00C876DB"/>
    <w:rsid w:val="00C87EC3"/>
    <w:rsid w:val="00C901A7"/>
    <w:rsid w:val="00C905B1"/>
    <w:rsid w:val="00C916D1"/>
    <w:rsid w:val="00C951D3"/>
    <w:rsid w:val="00CA03A5"/>
    <w:rsid w:val="00CA0707"/>
    <w:rsid w:val="00CA13CC"/>
    <w:rsid w:val="00CA1895"/>
    <w:rsid w:val="00CA1CCB"/>
    <w:rsid w:val="00CA2179"/>
    <w:rsid w:val="00CA2415"/>
    <w:rsid w:val="00CA24EA"/>
    <w:rsid w:val="00CA2E3D"/>
    <w:rsid w:val="00CA374D"/>
    <w:rsid w:val="00CA6303"/>
    <w:rsid w:val="00CA7D20"/>
    <w:rsid w:val="00CB03CF"/>
    <w:rsid w:val="00CB042C"/>
    <w:rsid w:val="00CB285D"/>
    <w:rsid w:val="00CB3377"/>
    <w:rsid w:val="00CB5551"/>
    <w:rsid w:val="00CB7558"/>
    <w:rsid w:val="00CB7BC7"/>
    <w:rsid w:val="00CC00EA"/>
    <w:rsid w:val="00CC1412"/>
    <w:rsid w:val="00CC284B"/>
    <w:rsid w:val="00CC512C"/>
    <w:rsid w:val="00CD010F"/>
    <w:rsid w:val="00CD2317"/>
    <w:rsid w:val="00CD65B2"/>
    <w:rsid w:val="00CD7B54"/>
    <w:rsid w:val="00CE105B"/>
    <w:rsid w:val="00CE4F12"/>
    <w:rsid w:val="00CE6D5A"/>
    <w:rsid w:val="00CE7C8E"/>
    <w:rsid w:val="00CF3DBC"/>
    <w:rsid w:val="00CF3EA4"/>
    <w:rsid w:val="00CF64F8"/>
    <w:rsid w:val="00CF7156"/>
    <w:rsid w:val="00CF7BBE"/>
    <w:rsid w:val="00CF7D77"/>
    <w:rsid w:val="00D06DFF"/>
    <w:rsid w:val="00D109B1"/>
    <w:rsid w:val="00D12581"/>
    <w:rsid w:val="00D1447B"/>
    <w:rsid w:val="00D14BA5"/>
    <w:rsid w:val="00D16C2E"/>
    <w:rsid w:val="00D20337"/>
    <w:rsid w:val="00D20586"/>
    <w:rsid w:val="00D20EAF"/>
    <w:rsid w:val="00D21D1B"/>
    <w:rsid w:val="00D22536"/>
    <w:rsid w:val="00D244BE"/>
    <w:rsid w:val="00D30A90"/>
    <w:rsid w:val="00D319FB"/>
    <w:rsid w:val="00D32DBD"/>
    <w:rsid w:val="00D349AB"/>
    <w:rsid w:val="00D40225"/>
    <w:rsid w:val="00D410E0"/>
    <w:rsid w:val="00D41AAC"/>
    <w:rsid w:val="00D41B4C"/>
    <w:rsid w:val="00D429D2"/>
    <w:rsid w:val="00D42B99"/>
    <w:rsid w:val="00D42E6A"/>
    <w:rsid w:val="00D44C93"/>
    <w:rsid w:val="00D454EA"/>
    <w:rsid w:val="00D45BCE"/>
    <w:rsid w:val="00D46D24"/>
    <w:rsid w:val="00D47454"/>
    <w:rsid w:val="00D476B0"/>
    <w:rsid w:val="00D50B1F"/>
    <w:rsid w:val="00D51593"/>
    <w:rsid w:val="00D51A26"/>
    <w:rsid w:val="00D51D08"/>
    <w:rsid w:val="00D52C33"/>
    <w:rsid w:val="00D54E39"/>
    <w:rsid w:val="00D5506E"/>
    <w:rsid w:val="00D55F8C"/>
    <w:rsid w:val="00D60000"/>
    <w:rsid w:val="00D60243"/>
    <w:rsid w:val="00D60480"/>
    <w:rsid w:val="00D6240B"/>
    <w:rsid w:val="00D63E69"/>
    <w:rsid w:val="00D6585A"/>
    <w:rsid w:val="00D678E2"/>
    <w:rsid w:val="00D70107"/>
    <w:rsid w:val="00D71829"/>
    <w:rsid w:val="00D7219F"/>
    <w:rsid w:val="00D7487B"/>
    <w:rsid w:val="00D7555D"/>
    <w:rsid w:val="00D7610B"/>
    <w:rsid w:val="00D7745B"/>
    <w:rsid w:val="00D83245"/>
    <w:rsid w:val="00D83401"/>
    <w:rsid w:val="00D836A1"/>
    <w:rsid w:val="00D8418E"/>
    <w:rsid w:val="00D8636D"/>
    <w:rsid w:val="00D8683A"/>
    <w:rsid w:val="00D86C97"/>
    <w:rsid w:val="00D87C41"/>
    <w:rsid w:val="00D92541"/>
    <w:rsid w:val="00D92594"/>
    <w:rsid w:val="00D9598B"/>
    <w:rsid w:val="00D972B4"/>
    <w:rsid w:val="00D97AFA"/>
    <w:rsid w:val="00DA3074"/>
    <w:rsid w:val="00DA47A6"/>
    <w:rsid w:val="00DA7260"/>
    <w:rsid w:val="00DA7AA1"/>
    <w:rsid w:val="00DB2C6C"/>
    <w:rsid w:val="00DB4503"/>
    <w:rsid w:val="00DB67CB"/>
    <w:rsid w:val="00DB77B8"/>
    <w:rsid w:val="00DB7D98"/>
    <w:rsid w:val="00DC2209"/>
    <w:rsid w:val="00DC2551"/>
    <w:rsid w:val="00DC2DD3"/>
    <w:rsid w:val="00DC44F0"/>
    <w:rsid w:val="00DC4679"/>
    <w:rsid w:val="00DC5941"/>
    <w:rsid w:val="00DC6354"/>
    <w:rsid w:val="00DC7806"/>
    <w:rsid w:val="00DD1B4D"/>
    <w:rsid w:val="00DD1E06"/>
    <w:rsid w:val="00DD4FB3"/>
    <w:rsid w:val="00DE0072"/>
    <w:rsid w:val="00DE0BDE"/>
    <w:rsid w:val="00DE195E"/>
    <w:rsid w:val="00DE320D"/>
    <w:rsid w:val="00DE5B65"/>
    <w:rsid w:val="00DE611A"/>
    <w:rsid w:val="00DF015D"/>
    <w:rsid w:val="00DF3196"/>
    <w:rsid w:val="00DF40B3"/>
    <w:rsid w:val="00E0034E"/>
    <w:rsid w:val="00E00D47"/>
    <w:rsid w:val="00E01D1B"/>
    <w:rsid w:val="00E03BD5"/>
    <w:rsid w:val="00E07331"/>
    <w:rsid w:val="00E109AB"/>
    <w:rsid w:val="00E11B24"/>
    <w:rsid w:val="00E178EB"/>
    <w:rsid w:val="00E212EC"/>
    <w:rsid w:val="00E2381E"/>
    <w:rsid w:val="00E248A9"/>
    <w:rsid w:val="00E250BE"/>
    <w:rsid w:val="00E305F3"/>
    <w:rsid w:val="00E31E9B"/>
    <w:rsid w:val="00E3263D"/>
    <w:rsid w:val="00E33C46"/>
    <w:rsid w:val="00E3445A"/>
    <w:rsid w:val="00E34E3A"/>
    <w:rsid w:val="00E35CDA"/>
    <w:rsid w:val="00E35FE4"/>
    <w:rsid w:val="00E41AE8"/>
    <w:rsid w:val="00E41CB9"/>
    <w:rsid w:val="00E41D76"/>
    <w:rsid w:val="00E4558E"/>
    <w:rsid w:val="00E46802"/>
    <w:rsid w:val="00E472BD"/>
    <w:rsid w:val="00E478FD"/>
    <w:rsid w:val="00E479A5"/>
    <w:rsid w:val="00E50E7F"/>
    <w:rsid w:val="00E50EEB"/>
    <w:rsid w:val="00E52857"/>
    <w:rsid w:val="00E52E11"/>
    <w:rsid w:val="00E53028"/>
    <w:rsid w:val="00E579A6"/>
    <w:rsid w:val="00E61468"/>
    <w:rsid w:val="00E6197B"/>
    <w:rsid w:val="00E61A74"/>
    <w:rsid w:val="00E6237A"/>
    <w:rsid w:val="00E628BB"/>
    <w:rsid w:val="00E62DDA"/>
    <w:rsid w:val="00E64CEC"/>
    <w:rsid w:val="00E65FBD"/>
    <w:rsid w:val="00E66C67"/>
    <w:rsid w:val="00E671CE"/>
    <w:rsid w:val="00E728CC"/>
    <w:rsid w:val="00E73710"/>
    <w:rsid w:val="00E73728"/>
    <w:rsid w:val="00E74E2F"/>
    <w:rsid w:val="00E752EC"/>
    <w:rsid w:val="00E8365A"/>
    <w:rsid w:val="00E836E4"/>
    <w:rsid w:val="00E86628"/>
    <w:rsid w:val="00E87E57"/>
    <w:rsid w:val="00E91D7D"/>
    <w:rsid w:val="00E931D9"/>
    <w:rsid w:val="00E934AA"/>
    <w:rsid w:val="00E948C1"/>
    <w:rsid w:val="00EA00A2"/>
    <w:rsid w:val="00EA05C2"/>
    <w:rsid w:val="00EA14CD"/>
    <w:rsid w:val="00EA1AF7"/>
    <w:rsid w:val="00EA28FE"/>
    <w:rsid w:val="00EA2DDB"/>
    <w:rsid w:val="00EA3131"/>
    <w:rsid w:val="00EA4618"/>
    <w:rsid w:val="00EA5E85"/>
    <w:rsid w:val="00EA6907"/>
    <w:rsid w:val="00EB0D1E"/>
    <w:rsid w:val="00EB1536"/>
    <w:rsid w:val="00EB1750"/>
    <w:rsid w:val="00EB1DAF"/>
    <w:rsid w:val="00EB505C"/>
    <w:rsid w:val="00EB5678"/>
    <w:rsid w:val="00EC3763"/>
    <w:rsid w:val="00ED0109"/>
    <w:rsid w:val="00ED2403"/>
    <w:rsid w:val="00ED44F8"/>
    <w:rsid w:val="00ED7130"/>
    <w:rsid w:val="00ED74DB"/>
    <w:rsid w:val="00EE06CA"/>
    <w:rsid w:val="00EE2231"/>
    <w:rsid w:val="00EE22BF"/>
    <w:rsid w:val="00EE23D5"/>
    <w:rsid w:val="00EE508B"/>
    <w:rsid w:val="00EE612E"/>
    <w:rsid w:val="00EF0CA1"/>
    <w:rsid w:val="00EF1DE1"/>
    <w:rsid w:val="00EF2559"/>
    <w:rsid w:val="00EF2C38"/>
    <w:rsid w:val="00EF456D"/>
    <w:rsid w:val="00EF59C4"/>
    <w:rsid w:val="00F01777"/>
    <w:rsid w:val="00F01BCB"/>
    <w:rsid w:val="00F02203"/>
    <w:rsid w:val="00F02B7E"/>
    <w:rsid w:val="00F03887"/>
    <w:rsid w:val="00F05DFB"/>
    <w:rsid w:val="00F11689"/>
    <w:rsid w:val="00F116AC"/>
    <w:rsid w:val="00F1191B"/>
    <w:rsid w:val="00F2498B"/>
    <w:rsid w:val="00F25473"/>
    <w:rsid w:val="00F27108"/>
    <w:rsid w:val="00F27455"/>
    <w:rsid w:val="00F3303E"/>
    <w:rsid w:val="00F33A74"/>
    <w:rsid w:val="00F33F05"/>
    <w:rsid w:val="00F40591"/>
    <w:rsid w:val="00F40FBD"/>
    <w:rsid w:val="00F42337"/>
    <w:rsid w:val="00F431F5"/>
    <w:rsid w:val="00F437B3"/>
    <w:rsid w:val="00F45743"/>
    <w:rsid w:val="00F47A3C"/>
    <w:rsid w:val="00F53C51"/>
    <w:rsid w:val="00F64281"/>
    <w:rsid w:val="00F652AB"/>
    <w:rsid w:val="00F65A1B"/>
    <w:rsid w:val="00F664EF"/>
    <w:rsid w:val="00F66DE2"/>
    <w:rsid w:val="00F66F9C"/>
    <w:rsid w:val="00F702B5"/>
    <w:rsid w:val="00F70507"/>
    <w:rsid w:val="00F72BC6"/>
    <w:rsid w:val="00F76565"/>
    <w:rsid w:val="00F76907"/>
    <w:rsid w:val="00F76D6A"/>
    <w:rsid w:val="00F77999"/>
    <w:rsid w:val="00F808DD"/>
    <w:rsid w:val="00F872E7"/>
    <w:rsid w:val="00F87F5F"/>
    <w:rsid w:val="00F91CAE"/>
    <w:rsid w:val="00F92062"/>
    <w:rsid w:val="00F95C36"/>
    <w:rsid w:val="00F9620E"/>
    <w:rsid w:val="00F97AF7"/>
    <w:rsid w:val="00FA025B"/>
    <w:rsid w:val="00FA14A2"/>
    <w:rsid w:val="00FA169D"/>
    <w:rsid w:val="00FA1A24"/>
    <w:rsid w:val="00FA2AD7"/>
    <w:rsid w:val="00FA32E8"/>
    <w:rsid w:val="00FA32FF"/>
    <w:rsid w:val="00FA3A5D"/>
    <w:rsid w:val="00FA4D36"/>
    <w:rsid w:val="00FA4E1C"/>
    <w:rsid w:val="00FA62CA"/>
    <w:rsid w:val="00FA6491"/>
    <w:rsid w:val="00FA7914"/>
    <w:rsid w:val="00FB1FC9"/>
    <w:rsid w:val="00FB3435"/>
    <w:rsid w:val="00FB3F7A"/>
    <w:rsid w:val="00FB4CF4"/>
    <w:rsid w:val="00FB72AD"/>
    <w:rsid w:val="00FC08B3"/>
    <w:rsid w:val="00FC2D66"/>
    <w:rsid w:val="00FC315A"/>
    <w:rsid w:val="00FC51DC"/>
    <w:rsid w:val="00FC6242"/>
    <w:rsid w:val="00FC647B"/>
    <w:rsid w:val="00FC6A47"/>
    <w:rsid w:val="00FC6B53"/>
    <w:rsid w:val="00FC6D69"/>
    <w:rsid w:val="00FD095D"/>
    <w:rsid w:val="00FD2BAA"/>
    <w:rsid w:val="00FD4A99"/>
    <w:rsid w:val="00FD5D54"/>
    <w:rsid w:val="00FD662F"/>
    <w:rsid w:val="00FD6E8F"/>
    <w:rsid w:val="00FD7732"/>
    <w:rsid w:val="00FE3642"/>
    <w:rsid w:val="00FE3C40"/>
    <w:rsid w:val="00FE3C75"/>
    <w:rsid w:val="00FE6DD5"/>
    <w:rsid w:val="00FE7986"/>
    <w:rsid w:val="00FF01CD"/>
    <w:rsid w:val="00FF0C4E"/>
    <w:rsid w:val="00FF1992"/>
    <w:rsid w:val="00FF1D67"/>
    <w:rsid w:val="00FF31C0"/>
    <w:rsid w:val="00FF63BC"/>
    <w:rsid w:val="00FF6F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91A21"/>
  <w14:defaultImageDpi w14:val="32767"/>
  <w15:chartTrackingRefBased/>
  <w15:docId w15:val="{D0D68164-0138-F84E-A492-8C3D9EE1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Body CS)"/>
        <w:sz w:val="22"/>
        <w:szCs w:val="24"/>
        <w:lang w:val="en-GB"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74E2F"/>
    <w:pPr>
      <w:spacing w:after="160" w:line="259" w:lineRule="auto"/>
    </w:pPr>
    <w:rPr>
      <w:rFonts w:eastAsiaTheme="minorHAnsi" w:cstheme="minorBidi"/>
      <w:szCs w:val="22"/>
      <w:lang w:val="en-AU" w:eastAsia="en-US"/>
    </w:rPr>
  </w:style>
  <w:style w:type="paragraph" w:styleId="Heading1">
    <w:name w:val="heading 1"/>
    <w:basedOn w:val="Normal"/>
    <w:next w:val="Normal"/>
    <w:link w:val="Heading1Char"/>
    <w:uiPriority w:val="9"/>
    <w:qFormat/>
    <w:rsid w:val="00996FA1"/>
    <w:pPr>
      <w:keepNext/>
      <w:keepLines/>
      <w:numPr>
        <w:numId w:val="1"/>
      </w:numPr>
      <w:outlineLvl w:val="0"/>
    </w:pPr>
    <w:rPr>
      <w:rFonts w:eastAsiaTheme="majorEastAsia"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996FA1"/>
    <w:pPr>
      <w:keepNext/>
      <w:keepLines/>
      <w:numPr>
        <w:ilvl w:val="1"/>
        <w:numId w:val="1"/>
      </w:numPr>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D86C97"/>
    <w:pPr>
      <w:keepNext/>
      <w:keepLines/>
      <w:numPr>
        <w:ilvl w:val="2"/>
        <w:numId w:val="1"/>
      </w:numPr>
      <w:spacing w:before="40"/>
      <w:outlineLvl w:val="2"/>
    </w:pPr>
    <w:rPr>
      <w:rFonts w:eastAsiaTheme="majorEastAsia" w:cstheme="majorBidi"/>
      <w:color w:val="1F3763" w:themeColor="accent1" w:themeShade="7F"/>
      <w:sz w:val="24"/>
    </w:rPr>
  </w:style>
  <w:style w:type="paragraph" w:styleId="Heading4">
    <w:name w:val="heading 4"/>
    <w:basedOn w:val="Normal"/>
    <w:next w:val="Normal"/>
    <w:link w:val="Heading4Char"/>
    <w:uiPriority w:val="9"/>
    <w:unhideWhenUsed/>
    <w:qFormat/>
    <w:rsid w:val="00996FA1"/>
    <w:pPr>
      <w:keepNext/>
      <w:keepLines/>
      <w:spacing w:before="40" w:after="0"/>
      <w:ind w:left="864" w:hanging="864"/>
      <w:outlineLvl w:val="3"/>
    </w:pPr>
    <w:rPr>
      <w:rFonts w:eastAsiaTheme="majorEastAsia" w:cstheme="majorBidi"/>
      <w:i/>
      <w:iCs/>
      <w:color w:val="2F5496" w:themeColor="accent1" w:themeShade="BF"/>
      <w:sz w:val="24"/>
    </w:rPr>
  </w:style>
  <w:style w:type="paragraph" w:styleId="Heading5">
    <w:name w:val="heading 5"/>
    <w:basedOn w:val="Normal"/>
    <w:next w:val="Normal"/>
    <w:link w:val="Heading5Char"/>
    <w:uiPriority w:val="9"/>
    <w:semiHidden/>
    <w:unhideWhenUsed/>
    <w:qFormat/>
    <w:rsid w:val="00996FA1"/>
    <w:pPr>
      <w:keepNext/>
      <w:keepLines/>
      <w:numPr>
        <w:ilvl w:val="4"/>
        <w:numId w:val="1"/>
      </w:numPr>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96FA1"/>
    <w:pPr>
      <w:keepNext/>
      <w:keepLines/>
      <w:numPr>
        <w:ilvl w:val="5"/>
        <w:numId w:val="1"/>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996FA1"/>
    <w:pPr>
      <w:keepNext/>
      <w:keepLines/>
      <w:numPr>
        <w:ilvl w:val="6"/>
        <w:numId w:val="1"/>
      </w:numPr>
      <w:spacing w:before="40" w:after="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996FA1"/>
    <w:pPr>
      <w:keepNext/>
      <w:keepLines/>
      <w:numPr>
        <w:ilvl w:val="7"/>
        <w:numId w:val="1"/>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96FA1"/>
    <w:pPr>
      <w:keepNext/>
      <w:keepLines/>
      <w:numPr>
        <w:ilvl w:val="8"/>
        <w:numId w:val="1"/>
      </w:numPr>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FA1"/>
    <w:rPr>
      <w:rFonts w:asciiTheme="majorHAnsi" w:eastAsiaTheme="majorEastAsia" w:hAnsiTheme="majorHAnsi" w:cstheme="majorBidi"/>
      <w:color w:val="2F5496" w:themeColor="accent1" w:themeShade="BF"/>
      <w:sz w:val="36"/>
      <w:szCs w:val="32"/>
      <w:lang w:val="en-AU"/>
    </w:rPr>
  </w:style>
  <w:style w:type="character" w:customStyle="1" w:styleId="Heading2Char">
    <w:name w:val="Heading 2 Char"/>
    <w:basedOn w:val="DefaultParagraphFont"/>
    <w:link w:val="Heading2"/>
    <w:uiPriority w:val="9"/>
    <w:rsid w:val="00996FA1"/>
    <w:rPr>
      <w:rFonts w:asciiTheme="majorHAnsi" w:eastAsiaTheme="majorEastAsia" w:hAnsiTheme="majorHAnsi" w:cstheme="majorBidi"/>
      <w:color w:val="2F5496" w:themeColor="accent1" w:themeShade="BF"/>
      <w:sz w:val="28"/>
      <w:szCs w:val="26"/>
      <w:lang w:val="en-AU"/>
    </w:rPr>
  </w:style>
  <w:style w:type="character" w:customStyle="1" w:styleId="Heading3Char">
    <w:name w:val="Heading 3 Char"/>
    <w:basedOn w:val="DefaultParagraphFont"/>
    <w:link w:val="Heading3"/>
    <w:uiPriority w:val="9"/>
    <w:rsid w:val="00D86C97"/>
    <w:rPr>
      <w:rFonts w:asciiTheme="majorHAnsi" w:eastAsiaTheme="majorEastAsia" w:hAnsiTheme="majorHAnsi" w:cstheme="majorBidi"/>
      <w:color w:val="1F3763" w:themeColor="accent1" w:themeShade="7F"/>
      <w:sz w:val="24"/>
      <w:lang w:val="en-AU"/>
    </w:rPr>
  </w:style>
  <w:style w:type="character" w:customStyle="1" w:styleId="Heading4Char">
    <w:name w:val="Heading 4 Char"/>
    <w:basedOn w:val="DefaultParagraphFont"/>
    <w:link w:val="Heading4"/>
    <w:uiPriority w:val="9"/>
    <w:rsid w:val="00996FA1"/>
    <w:rPr>
      <w:rFonts w:asciiTheme="majorHAnsi" w:eastAsiaTheme="majorEastAsia" w:hAnsiTheme="majorHAnsi" w:cstheme="majorBidi"/>
      <w:i/>
      <w:iCs/>
      <w:color w:val="2F5496" w:themeColor="accent1" w:themeShade="BF"/>
      <w:sz w:val="24"/>
      <w:lang w:val="en-AU"/>
    </w:rPr>
  </w:style>
  <w:style w:type="character" w:customStyle="1" w:styleId="Heading5Char">
    <w:name w:val="Heading 5 Char"/>
    <w:basedOn w:val="DefaultParagraphFont"/>
    <w:link w:val="Heading5"/>
    <w:uiPriority w:val="9"/>
    <w:semiHidden/>
    <w:rsid w:val="00996FA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96FA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96FA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96FA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96FA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96FA1"/>
    <w:pPr>
      <w:numPr>
        <w:numId w:val="2"/>
      </w:numPr>
      <w:spacing w:after="120" w:line="240" w:lineRule="auto"/>
    </w:pPr>
  </w:style>
  <w:style w:type="table" w:styleId="TableGrid">
    <w:name w:val="Table Grid"/>
    <w:basedOn w:val="TableNormal"/>
    <w:uiPriority w:val="39"/>
    <w:rsid w:val="00996FA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Caption">
    <w:name w:val="caption"/>
    <w:basedOn w:val="Normal"/>
    <w:next w:val="Normal"/>
    <w:uiPriority w:val="35"/>
    <w:unhideWhenUsed/>
    <w:qFormat/>
    <w:rsid w:val="002C5258"/>
    <w:pPr>
      <w:keepNext/>
      <w:spacing w:before="40" w:after="80"/>
    </w:pPr>
    <w:rPr>
      <w:b/>
      <w:iCs/>
      <w:color w:val="2F5496" w:themeColor="accent1" w:themeShade="BF"/>
      <w:sz w:val="20"/>
      <w:szCs w:val="20"/>
    </w:rPr>
  </w:style>
  <w:style w:type="paragraph" w:styleId="FootnoteText">
    <w:name w:val="footnote text"/>
    <w:aliases w:val="Footnote Text Char Char Char Char,Footnote Text Char Char Char Char Char Char,Footnote Text1,Footnote Text Char Char Char Char Char Char1,Footnote Text Char Char Char Char Char Char Char,Footnote Text1 Char Char Char"/>
    <w:basedOn w:val="Normal"/>
    <w:link w:val="FootnoteTextChar"/>
    <w:autoRedefine/>
    <w:uiPriority w:val="99"/>
    <w:unhideWhenUsed/>
    <w:rsid w:val="0075384B"/>
    <w:pPr>
      <w:spacing w:after="60" w:line="240" w:lineRule="auto"/>
    </w:pPr>
    <w:rPr>
      <w:rFonts w:cstheme="minorHAnsi"/>
      <w:sz w:val="18"/>
      <w:szCs w:val="20"/>
    </w:rPr>
  </w:style>
  <w:style w:type="character" w:customStyle="1" w:styleId="FootnoteTextChar">
    <w:name w:val="Footnote Text Char"/>
    <w:aliases w:val="Footnote Text Char Char Char Char Char,Footnote Text Char Char Char Char Char Char Char1,Footnote Text1 Char,Footnote Text Char Char Char Char Char Char1 Char,Footnote Text Char Char Char Char Char Char Char Char"/>
    <w:basedOn w:val="DefaultParagraphFont"/>
    <w:link w:val="FootnoteText"/>
    <w:uiPriority w:val="99"/>
    <w:rsid w:val="0075384B"/>
    <w:rPr>
      <w:rFonts w:eastAsiaTheme="minorHAnsi" w:cstheme="minorHAnsi"/>
      <w:sz w:val="18"/>
      <w:szCs w:val="20"/>
      <w:lang w:val="en-AU" w:eastAsia="en-US"/>
    </w:rPr>
  </w:style>
  <w:style w:type="character" w:styleId="FootnoteReference">
    <w:name w:val="footnote reference"/>
    <w:basedOn w:val="DefaultParagraphFont"/>
    <w:uiPriority w:val="99"/>
    <w:unhideWhenUsed/>
    <w:qFormat/>
    <w:rsid w:val="0045392D"/>
    <w:rPr>
      <w:rFonts w:asciiTheme="majorHAnsi" w:hAnsiTheme="majorHAnsi"/>
      <w:sz w:val="22"/>
      <w:vertAlign w:val="superscript"/>
    </w:rPr>
  </w:style>
  <w:style w:type="character" w:styleId="Hyperlink">
    <w:name w:val="Hyperlink"/>
    <w:basedOn w:val="DefaultParagraphFont"/>
    <w:uiPriority w:val="99"/>
    <w:unhideWhenUsed/>
    <w:qFormat/>
    <w:rsid w:val="002C5258"/>
    <w:rPr>
      <w:rFonts w:asciiTheme="majorHAnsi" w:hAnsiTheme="majorHAnsi"/>
      <w:b w:val="0"/>
      <w:color w:val="000000" w:themeColor="text1"/>
      <w:u w:val="none"/>
    </w:rPr>
  </w:style>
  <w:style w:type="character" w:styleId="FollowedHyperlink">
    <w:name w:val="FollowedHyperlink"/>
    <w:basedOn w:val="DefaultParagraphFont"/>
    <w:uiPriority w:val="99"/>
    <w:semiHidden/>
    <w:unhideWhenUsed/>
    <w:qFormat/>
    <w:rsid w:val="004E3D90"/>
    <w:rPr>
      <w:b/>
      <w:color w:val="000000" w:themeColor="text1"/>
      <w:u w:val="none"/>
    </w:rPr>
  </w:style>
  <w:style w:type="character" w:styleId="CommentReference">
    <w:name w:val="annotation reference"/>
    <w:basedOn w:val="DefaultParagraphFont"/>
    <w:uiPriority w:val="99"/>
    <w:semiHidden/>
    <w:unhideWhenUsed/>
    <w:rsid w:val="007E1652"/>
    <w:rPr>
      <w:sz w:val="16"/>
      <w:szCs w:val="16"/>
    </w:rPr>
  </w:style>
  <w:style w:type="paragraph" w:styleId="CommentText">
    <w:name w:val="annotation text"/>
    <w:basedOn w:val="Normal"/>
    <w:link w:val="CommentTextChar"/>
    <w:uiPriority w:val="99"/>
    <w:unhideWhenUsed/>
    <w:rsid w:val="007E1652"/>
    <w:pPr>
      <w:spacing w:line="240" w:lineRule="auto"/>
    </w:pPr>
    <w:rPr>
      <w:sz w:val="20"/>
      <w:szCs w:val="20"/>
    </w:rPr>
  </w:style>
  <w:style w:type="character" w:customStyle="1" w:styleId="CommentTextChar">
    <w:name w:val="Comment Text Char"/>
    <w:basedOn w:val="DefaultParagraphFont"/>
    <w:link w:val="CommentText"/>
    <w:uiPriority w:val="99"/>
    <w:rsid w:val="007E1652"/>
    <w:rPr>
      <w:rFonts w:eastAsiaTheme="minorHAnsi" w:cstheme="minorBidi"/>
      <w:sz w:val="20"/>
      <w:szCs w:val="20"/>
      <w:lang w:val="en-AU" w:eastAsia="en-US"/>
    </w:rPr>
  </w:style>
  <w:style w:type="paragraph" w:styleId="CommentSubject">
    <w:name w:val="annotation subject"/>
    <w:basedOn w:val="CommentText"/>
    <w:next w:val="CommentText"/>
    <w:link w:val="CommentSubjectChar"/>
    <w:uiPriority w:val="99"/>
    <w:semiHidden/>
    <w:unhideWhenUsed/>
    <w:rsid w:val="007E1652"/>
    <w:rPr>
      <w:b/>
      <w:bCs/>
    </w:rPr>
  </w:style>
  <w:style w:type="character" w:customStyle="1" w:styleId="CommentSubjectChar">
    <w:name w:val="Comment Subject Char"/>
    <w:basedOn w:val="CommentTextChar"/>
    <w:link w:val="CommentSubject"/>
    <w:uiPriority w:val="99"/>
    <w:semiHidden/>
    <w:rsid w:val="007E1652"/>
    <w:rPr>
      <w:rFonts w:eastAsiaTheme="minorHAnsi" w:cstheme="minorBidi"/>
      <w:b/>
      <w:bCs/>
      <w:sz w:val="20"/>
      <w:szCs w:val="20"/>
      <w:lang w:val="en-AU" w:eastAsia="en-US"/>
    </w:rPr>
  </w:style>
  <w:style w:type="paragraph" w:styleId="Revision">
    <w:name w:val="Revision"/>
    <w:hidden/>
    <w:uiPriority w:val="99"/>
    <w:semiHidden/>
    <w:rsid w:val="003A4AC9"/>
    <w:pPr>
      <w:spacing w:after="0"/>
    </w:pPr>
    <w:rPr>
      <w:rFonts w:eastAsiaTheme="minorHAnsi" w:cstheme="minorBidi"/>
      <w:szCs w:val="22"/>
      <w:lang w:val="en-AU" w:eastAsia="en-US"/>
    </w:rPr>
  </w:style>
  <w:style w:type="paragraph" w:styleId="TOC1">
    <w:name w:val="toc 1"/>
    <w:basedOn w:val="Normal"/>
    <w:next w:val="Normal"/>
    <w:autoRedefine/>
    <w:uiPriority w:val="39"/>
    <w:unhideWhenUsed/>
    <w:rsid w:val="007919B6"/>
    <w:pPr>
      <w:tabs>
        <w:tab w:val="left" w:pos="440"/>
        <w:tab w:val="right" w:leader="dot" w:pos="9010"/>
      </w:tabs>
      <w:spacing w:before="120" w:after="120"/>
    </w:pPr>
    <w:rPr>
      <w:rFonts w:cstheme="minorHAnsi"/>
      <w:b/>
      <w:bCs/>
      <w:caps/>
      <w:sz w:val="20"/>
      <w:szCs w:val="20"/>
    </w:rPr>
  </w:style>
  <w:style w:type="paragraph" w:styleId="TOC2">
    <w:name w:val="toc 2"/>
    <w:basedOn w:val="Normal"/>
    <w:next w:val="Normal"/>
    <w:autoRedefine/>
    <w:uiPriority w:val="39"/>
    <w:unhideWhenUsed/>
    <w:rsid w:val="00954187"/>
    <w:pPr>
      <w:spacing w:after="0"/>
      <w:ind w:left="220"/>
    </w:pPr>
    <w:rPr>
      <w:rFonts w:cstheme="minorHAnsi"/>
      <w:smallCaps/>
      <w:sz w:val="20"/>
      <w:szCs w:val="20"/>
    </w:rPr>
  </w:style>
  <w:style w:type="paragraph" w:styleId="TOC3">
    <w:name w:val="toc 3"/>
    <w:basedOn w:val="Normal"/>
    <w:next w:val="Normal"/>
    <w:autoRedefine/>
    <w:uiPriority w:val="39"/>
    <w:unhideWhenUsed/>
    <w:rsid w:val="00954187"/>
    <w:pPr>
      <w:spacing w:after="0"/>
      <w:ind w:left="440"/>
    </w:pPr>
    <w:rPr>
      <w:rFonts w:cstheme="minorHAnsi"/>
      <w:i/>
      <w:iCs/>
      <w:sz w:val="20"/>
      <w:szCs w:val="20"/>
    </w:rPr>
  </w:style>
  <w:style w:type="paragraph" w:styleId="TOC4">
    <w:name w:val="toc 4"/>
    <w:basedOn w:val="Normal"/>
    <w:next w:val="Normal"/>
    <w:autoRedefine/>
    <w:uiPriority w:val="39"/>
    <w:unhideWhenUsed/>
    <w:rsid w:val="00954187"/>
    <w:pPr>
      <w:spacing w:after="0"/>
      <w:ind w:left="660"/>
    </w:pPr>
    <w:rPr>
      <w:rFonts w:cstheme="minorHAnsi"/>
      <w:sz w:val="18"/>
      <w:szCs w:val="18"/>
    </w:rPr>
  </w:style>
  <w:style w:type="paragraph" w:styleId="TOC5">
    <w:name w:val="toc 5"/>
    <w:basedOn w:val="Normal"/>
    <w:next w:val="Normal"/>
    <w:autoRedefine/>
    <w:uiPriority w:val="39"/>
    <w:unhideWhenUsed/>
    <w:rsid w:val="00954187"/>
    <w:pPr>
      <w:spacing w:after="0"/>
      <w:ind w:left="880"/>
    </w:pPr>
    <w:rPr>
      <w:rFonts w:cstheme="minorHAnsi"/>
      <w:sz w:val="18"/>
      <w:szCs w:val="18"/>
    </w:rPr>
  </w:style>
  <w:style w:type="paragraph" w:styleId="TOC6">
    <w:name w:val="toc 6"/>
    <w:basedOn w:val="Normal"/>
    <w:next w:val="Normal"/>
    <w:autoRedefine/>
    <w:uiPriority w:val="39"/>
    <w:unhideWhenUsed/>
    <w:rsid w:val="00954187"/>
    <w:pPr>
      <w:spacing w:after="0"/>
      <w:ind w:left="1100"/>
    </w:pPr>
    <w:rPr>
      <w:rFonts w:cstheme="minorHAnsi"/>
      <w:sz w:val="18"/>
      <w:szCs w:val="18"/>
    </w:rPr>
  </w:style>
  <w:style w:type="paragraph" w:styleId="TOC7">
    <w:name w:val="toc 7"/>
    <w:basedOn w:val="Normal"/>
    <w:next w:val="Normal"/>
    <w:autoRedefine/>
    <w:uiPriority w:val="39"/>
    <w:unhideWhenUsed/>
    <w:rsid w:val="00954187"/>
    <w:pPr>
      <w:spacing w:after="0"/>
      <w:ind w:left="1320"/>
    </w:pPr>
    <w:rPr>
      <w:rFonts w:cstheme="minorHAnsi"/>
      <w:sz w:val="18"/>
      <w:szCs w:val="18"/>
    </w:rPr>
  </w:style>
  <w:style w:type="paragraph" w:styleId="TOC8">
    <w:name w:val="toc 8"/>
    <w:basedOn w:val="Normal"/>
    <w:next w:val="Normal"/>
    <w:autoRedefine/>
    <w:uiPriority w:val="39"/>
    <w:unhideWhenUsed/>
    <w:rsid w:val="00954187"/>
    <w:pPr>
      <w:spacing w:after="0"/>
      <w:ind w:left="1540"/>
    </w:pPr>
    <w:rPr>
      <w:rFonts w:cstheme="minorHAnsi"/>
      <w:sz w:val="18"/>
      <w:szCs w:val="18"/>
    </w:rPr>
  </w:style>
  <w:style w:type="paragraph" w:styleId="TOC9">
    <w:name w:val="toc 9"/>
    <w:basedOn w:val="Normal"/>
    <w:next w:val="Normal"/>
    <w:autoRedefine/>
    <w:uiPriority w:val="39"/>
    <w:unhideWhenUsed/>
    <w:rsid w:val="00954187"/>
    <w:pPr>
      <w:spacing w:after="0"/>
      <w:ind w:left="1760"/>
    </w:pPr>
    <w:rPr>
      <w:rFonts w:cstheme="minorHAnsi"/>
      <w:sz w:val="18"/>
      <w:szCs w:val="18"/>
    </w:rPr>
  </w:style>
  <w:style w:type="paragraph" w:styleId="Header">
    <w:name w:val="header"/>
    <w:basedOn w:val="Normal"/>
    <w:link w:val="HeaderChar"/>
    <w:uiPriority w:val="99"/>
    <w:unhideWhenUsed/>
    <w:rsid w:val="00954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187"/>
    <w:rPr>
      <w:rFonts w:eastAsiaTheme="minorHAnsi" w:cstheme="minorBidi"/>
      <w:szCs w:val="22"/>
      <w:lang w:val="en-AU" w:eastAsia="en-US"/>
    </w:rPr>
  </w:style>
  <w:style w:type="paragraph" w:styleId="Footer">
    <w:name w:val="footer"/>
    <w:basedOn w:val="Normal"/>
    <w:link w:val="FooterChar"/>
    <w:uiPriority w:val="99"/>
    <w:unhideWhenUsed/>
    <w:rsid w:val="00954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187"/>
    <w:rPr>
      <w:rFonts w:eastAsiaTheme="minorHAnsi" w:cstheme="minorBidi"/>
      <w:szCs w:val="22"/>
      <w:lang w:val="en-AU" w:eastAsia="en-US"/>
    </w:rPr>
  </w:style>
  <w:style w:type="character" w:customStyle="1" w:styleId="markedcontent">
    <w:name w:val="markedcontent"/>
    <w:basedOn w:val="DefaultParagraphFont"/>
    <w:rsid w:val="00BD450C"/>
  </w:style>
  <w:style w:type="paragraph" w:customStyle="1" w:styleId="clauseheadlevel3">
    <w:name w:val="clauseheadlevel3"/>
    <w:uiPriority w:val="99"/>
    <w:rsid w:val="00042AA4"/>
    <w:pPr>
      <w:keepNext/>
      <w:keepLines/>
      <w:autoSpaceDE w:val="0"/>
      <w:autoSpaceDN w:val="0"/>
      <w:adjustRightInd w:val="0"/>
      <w:spacing w:before="160" w:after="0"/>
      <w:ind w:left="567" w:hanging="567"/>
    </w:pPr>
    <w:rPr>
      <w:rFonts w:ascii="Times New Roman" w:hAnsi="Times New Roman" w:cs="Times New Roman"/>
      <w:b/>
      <w:bCs/>
      <w:color w:val="000000"/>
      <w:sz w:val="26"/>
      <w:szCs w:val="26"/>
      <w:lang w:val="en-AU" w:eastAsia="en-AU"/>
    </w:rPr>
  </w:style>
  <w:style w:type="character" w:styleId="EndnoteReference">
    <w:name w:val="endnote reference"/>
    <w:basedOn w:val="DefaultParagraphFont"/>
    <w:uiPriority w:val="99"/>
    <w:semiHidden/>
    <w:unhideWhenUsed/>
    <w:rsid w:val="00042AA4"/>
    <w:rPr>
      <w:vertAlign w:val="superscript"/>
    </w:rPr>
  </w:style>
  <w:style w:type="character" w:customStyle="1" w:styleId="cf01">
    <w:name w:val="cf01"/>
    <w:basedOn w:val="DefaultParagraphFont"/>
    <w:rsid w:val="00044F99"/>
    <w:rPr>
      <w:rFonts w:ascii="Segoe UI" w:hAnsi="Segoe UI" w:cs="Segoe UI" w:hint="default"/>
      <w:sz w:val="18"/>
      <w:szCs w:val="18"/>
    </w:rPr>
  </w:style>
  <w:style w:type="character" w:styleId="UnresolvedMention">
    <w:name w:val="Unresolved Mention"/>
    <w:basedOn w:val="DefaultParagraphFont"/>
    <w:uiPriority w:val="99"/>
    <w:rsid w:val="00835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051589">
      <w:bodyDiv w:val="1"/>
      <w:marLeft w:val="0"/>
      <w:marRight w:val="0"/>
      <w:marTop w:val="0"/>
      <w:marBottom w:val="0"/>
      <w:divBdr>
        <w:top w:val="none" w:sz="0" w:space="0" w:color="auto"/>
        <w:left w:val="none" w:sz="0" w:space="0" w:color="auto"/>
        <w:bottom w:val="none" w:sz="0" w:space="0" w:color="auto"/>
        <w:right w:val="none" w:sz="0" w:space="0" w:color="auto"/>
      </w:divBdr>
    </w:div>
    <w:div w:id="913003611">
      <w:bodyDiv w:val="1"/>
      <w:marLeft w:val="0"/>
      <w:marRight w:val="0"/>
      <w:marTop w:val="0"/>
      <w:marBottom w:val="0"/>
      <w:divBdr>
        <w:top w:val="none" w:sz="0" w:space="0" w:color="auto"/>
        <w:left w:val="none" w:sz="0" w:space="0" w:color="auto"/>
        <w:bottom w:val="none" w:sz="0" w:space="0" w:color="auto"/>
        <w:right w:val="none" w:sz="0" w:space="0" w:color="auto"/>
      </w:divBdr>
    </w:div>
    <w:div w:id="1445809292">
      <w:bodyDiv w:val="1"/>
      <w:marLeft w:val="0"/>
      <w:marRight w:val="0"/>
      <w:marTop w:val="0"/>
      <w:marBottom w:val="0"/>
      <w:divBdr>
        <w:top w:val="none" w:sz="0" w:space="0" w:color="auto"/>
        <w:left w:val="none" w:sz="0" w:space="0" w:color="auto"/>
        <w:bottom w:val="none" w:sz="0" w:space="0" w:color="auto"/>
        <w:right w:val="none" w:sz="0" w:space="0" w:color="auto"/>
      </w:divBdr>
    </w:div>
    <w:div w:id="154613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t.qld.gov.au"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t.qld.gov.a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vcatprincipalregistrar@courts.vic.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lackandkrantz.com.au/about_us/fees" TargetMode="External"/><Relationship Id="rId2" Type="http://schemas.openxmlformats.org/officeDocument/2006/relationships/hyperlink" Target="https://obrienaccountants.com/baserate.html" TargetMode="External"/><Relationship Id="rId1" Type="http://schemas.openxmlformats.org/officeDocument/2006/relationships/hyperlink" Target="https://lsbc.vic.gov.au/resources/practitioner-remuneration-order-2022" TargetMode="External"/><Relationship Id="rId6" Type="http://schemas.openxmlformats.org/officeDocument/2006/relationships/hyperlink" Target="https://www.abs.gov.au/articles/understanding-full-time-and-part-time-work" TargetMode="External"/><Relationship Id="rId5" Type="http://schemas.openxmlformats.org/officeDocument/2006/relationships/hyperlink" Target="https://www.airtasker.com/accounting/financial-advisor/price/financial-advisor-cost/" TargetMode="External"/><Relationship Id="rId4" Type="http://schemas.openxmlformats.org/officeDocument/2006/relationships/hyperlink" Target="https://www.airtasker.com/accounting/tax-accountants/price/tax-accounting-c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97AD4-4DDA-B643-BD79-77632C5E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11978</Words>
  <Characters>68281</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Edney</dc:creator>
  <cp:keywords/>
  <dc:description/>
  <cp:lastModifiedBy>Alvin Bautista (CSV)</cp:lastModifiedBy>
  <cp:revision>2</cp:revision>
  <cp:lastPrinted>2022-11-30T22:58:00Z</cp:lastPrinted>
  <dcterms:created xsi:type="dcterms:W3CDTF">2023-05-09T22:46:00Z</dcterms:created>
  <dcterms:modified xsi:type="dcterms:W3CDTF">2023-05-09T22:46:00Z</dcterms:modified>
</cp:coreProperties>
</file>